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F03C" w14:textId="19F57A41" w:rsidR="00915D7A" w:rsidRPr="00915D7A" w:rsidRDefault="00915D7A" w:rsidP="00DF1B1B">
      <w:pPr>
        <w:pBdr>
          <w:bottom w:val="single" w:sz="4" w:space="1" w:color="auto"/>
        </w:pBdr>
        <w:spacing w:after="0" w:line="240" w:lineRule="auto"/>
        <w:ind w:left="708" w:right="-2" w:hanging="708"/>
        <w:contextualSpacing/>
        <w:mirrorIndents/>
        <w:jc w:val="right"/>
        <w:rPr>
          <w:rFonts w:ascii="Times New Roman" w:eastAsia="Arial" w:hAnsi="Times New Roman" w:cs="Times New Roman"/>
          <w:color w:val="7F7F7F"/>
          <w:lang w:val="es-CO"/>
        </w:rPr>
      </w:pPr>
      <w:r w:rsidRPr="00915D7A">
        <w:rPr>
          <w:rFonts w:ascii="Times New Roman" w:eastAsia="Arial" w:hAnsi="Times New Roman" w:cs="Times New Roman"/>
          <w:color w:val="7F7F7F"/>
          <w:lang w:val="es-CO"/>
        </w:rPr>
        <w:t>EDITORIAL</w:t>
      </w:r>
    </w:p>
    <w:p w14:paraId="2566EBB1" w14:textId="77777777" w:rsidR="00915D7A" w:rsidRPr="00915D7A" w:rsidRDefault="00915D7A" w:rsidP="00915D7A">
      <w:pPr>
        <w:spacing w:after="0" w:line="240" w:lineRule="auto"/>
        <w:ind w:right="-2"/>
        <w:contextualSpacing/>
        <w:mirrorIndents/>
        <w:rPr>
          <w:rFonts w:ascii="Times New Roman" w:eastAsia="Arial" w:hAnsi="Times New Roman" w:cs="Times New Roman"/>
          <w:b/>
          <w:bCs/>
          <w:i/>
          <w:iCs/>
          <w:color w:val="7F7F7F"/>
          <w:sz w:val="6"/>
          <w:szCs w:val="6"/>
          <w:lang w:val="es-CO"/>
        </w:rPr>
      </w:pPr>
      <w:r w:rsidRPr="00915D7A">
        <w:rPr>
          <w:rFonts w:ascii="Times New Roman" w:hAnsi="Times New Roman" w:cs="Times New Roman"/>
          <w:noProof/>
        </w:rPr>
        <w:drawing>
          <wp:anchor distT="0" distB="0" distL="114300" distR="114300" simplePos="0" relativeHeight="251659264" behindDoc="0" locked="0" layoutInCell="1" allowOverlap="1" wp14:anchorId="3E271EAD" wp14:editId="7DD0A771">
            <wp:simplePos x="0" y="0"/>
            <wp:positionH relativeFrom="column">
              <wp:align>left</wp:align>
            </wp:positionH>
            <wp:positionV relativeFrom="paragraph">
              <wp:align>top</wp:align>
            </wp:positionV>
            <wp:extent cx="736600" cy="762000"/>
            <wp:effectExtent l="0" t="0" r="0" b="0"/>
            <wp:wrapSquare wrapText="bothSides"/>
            <wp:docPr id="1419977312"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D7A">
        <w:rPr>
          <w:rFonts w:ascii="Times New Roman" w:eastAsia="Arial" w:hAnsi="Times New Roman" w:cs="Times New Roman"/>
          <w:b/>
          <w:bCs/>
          <w:i/>
          <w:iCs/>
          <w:color w:val="7F7F7F"/>
          <w:lang w:val="es-CO"/>
        </w:rPr>
        <w:br w:type="textWrapping" w:clear="all"/>
      </w:r>
    </w:p>
    <w:p w14:paraId="786C9A1F" w14:textId="77777777" w:rsidR="00915D7A" w:rsidRPr="00915D7A" w:rsidRDefault="00915D7A" w:rsidP="00915D7A">
      <w:pPr>
        <w:pBdr>
          <w:top w:val="single" w:sz="4" w:space="1" w:color="auto"/>
          <w:left w:val="single" w:sz="4" w:space="0" w:color="auto"/>
          <w:bottom w:val="single" w:sz="4" w:space="3" w:color="auto"/>
          <w:right w:val="single" w:sz="4" w:space="1" w:color="auto"/>
        </w:pBdr>
        <w:tabs>
          <w:tab w:val="center" w:pos="4252"/>
          <w:tab w:val="right" w:pos="8504"/>
          <w:tab w:val="right" w:pos="9084"/>
        </w:tabs>
        <w:spacing w:after="0" w:line="240" w:lineRule="auto"/>
        <w:ind w:right="-2"/>
        <w:contextualSpacing/>
        <w:mirrorIndents/>
        <w:rPr>
          <w:rFonts w:ascii="Times New Roman" w:eastAsia="Arial" w:hAnsi="Times New Roman" w:cs="Times New Roman"/>
          <w:color w:val="7F7F7F"/>
          <w:lang w:val="es"/>
        </w:rPr>
      </w:pPr>
      <w:r w:rsidRPr="00915D7A">
        <w:rPr>
          <w:rFonts w:ascii="Times New Roman" w:eastAsia="Arial" w:hAnsi="Times New Roman" w:cs="Times New Roman"/>
          <w:color w:val="7F7F7F"/>
          <w:lang w:val="es"/>
        </w:rPr>
        <w:t xml:space="preserve"> Revista de Estilos de Aprendizaje / </w:t>
      </w:r>
      <w:proofErr w:type="spellStart"/>
      <w:r w:rsidRPr="00915D7A">
        <w:rPr>
          <w:rFonts w:ascii="Times New Roman" w:eastAsia="Arial" w:hAnsi="Times New Roman" w:cs="Times New Roman"/>
          <w:color w:val="7F7F7F"/>
          <w:lang w:val="es"/>
        </w:rPr>
        <w:t>Journal</w:t>
      </w:r>
      <w:proofErr w:type="spellEnd"/>
      <w:r w:rsidRPr="00915D7A">
        <w:rPr>
          <w:rFonts w:ascii="Times New Roman" w:eastAsia="Arial" w:hAnsi="Times New Roman" w:cs="Times New Roman"/>
          <w:color w:val="7F7F7F"/>
          <w:lang w:val="es"/>
        </w:rPr>
        <w:t xml:space="preserve"> </w:t>
      </w:r>
      <w:proofErr w:type="spellStart"/>
      <w:r w:rsidRPr="00915D7A">
        <w:rPr>
          <w:rFonts w:ascii="Times New Roman" w:eastAsia="Arial" w:hAnsi="Times New Roman" w:cs="Times New Roman"/>
          <w:color w:val="7F7F7F"/>
          <w:lang w:val="es"/>
        </w:rPr>
        <w:t>of</w:t>
      </w:r>
      <w:proofErr w:type="spellEnd"/>
      <w:r w:rsidRPr="00915D7A">
        <w:rPr>
          <w:rFonts w:ascii="Times New Roman" w:eastAsia="Arial" w:hAnsi="Times New Roman" w:cs="Times New Roman"/>
          <w:color w:val="7F7F7F"/>
          <w:lang w:val="es"/>
        </w:rPr>
        <w:t xml:space="preserve"> </w:t>
      </w:r>
      <w:proofErr w:type="spellStart"/>
      <w:r w:rsidRPr="00915D7A">
        <w:rPr>
          <w:rFonts w:ascii="Times New Roman" w:eastAsia="Arial" w:hAnsi="Times New Roman" w:cs="Times New Roman"/>
          <w:color w:val="7F7F7F"/>
          <w:lang w:val="es"/>
        </w:rPr>
        <w:t>Learning</w:t>
      </w:r>
      <w:proofErr w:type="spellEnd"/>
      <w:r w:rsidRPr="00915D7A">
        <w:rPr>
          <w:rFonts w:ascii="Times New Roman" w:eastAsia="Arial" w:hAnsi="Times New Roman" w:cs="Times New Roman"/>
          <w:color w:val="7F7F7F"/>
          <w:lang w:val="es"/>
        </w:rPr>
        <w:t xml:space="preserve"> </w:t>
      </w:r>
      <w:proofErr w:type="spellStart"/>
      <w:r w:rsidRPr="00915D7A">
        <w:rPr>
          <w:rFonts w:ascii="Times New Roman" w:eastAsia="Arial" w:hAnsi="Times New Roman" w:cs="Times New Roman"/>
          <w:color w:val="7F7F7F"/>
          <w:lang w:val="es"/>
        </w:rPr>
        <w:t>Styles</w:t>
      </w:r>
      <w:proofErr w:type="spellEnd"/>
    </w:p>
    <w:p w14:paraId="796199A2" w14:textId="77777777" w:rsidR="00915D7A" w:rsidRPr="00915D7A" w:rsidRDefault="00915D7A" w:rsidP="00915D7A">
      <w:pPr>
        <w:pBdr>
          <w:top w:val="single" w:sz="4" w:space="1" w:color="auto"/>
          <w:left w:val="single" w:sz="4" w:space="0" w:color="auto"/>
          <w:bottom w:val="single" w:sz="4" w:space="3" w:color="auto"/>
          <w:right w:val="single" w:sz="4" w:space="1" w:color="auto"/>
        </w:pBdr>
        <w:tabs>
          <w:tab w:val="center" w:pos="4252"/>
          <w:tab w:val="right" w:pos="8504"/>
          <w:tab w:val="right" w:pos="9084"/>
        </w:tabs>
        <w:spacing w:after="0" w:line="240" w:lineRule="auto"/>
        <w:ind w:right="-2"/>
        <w:contextualSpacing/>
        <w:mirrorIndents/>
        <w:rPr>
          <w:rFonts w:ascii="Times New Roman" w:eastAsia="Arial" w:hAnsi="Times New Roman" w:cs="Times New Roman"/>
          <w:b/>
          <w:color w:val="7F7F7F"/>
          <w:lang w:val="es"/>
        </w:rPr>
      </w:pPr>
      <w:r w:rsidRPr="00915D7A">
        <w:rPr>
          <w:rFonts w:ascii="Times New Roman" w:eastAsia="Arial" w:hAnsi="Times New Roman" w:cs="Times New Roman"/>
          <w:color w:val="7F7F7F"/>
          <w:lang w:val="es"/>
        </w:rPr>
        <w:t xml:space="preserve"> ISSN: 1988-8996 / ISSN: 2332-8533</w:t>
      </w:r>
      <w:bookmarkStart w:id="0" w:name="_heading=h.gjdgxs" w:colFirst="0" w:colLast="0"/>
      <w:bookmarkEnd w:id="0"/>
    </w:p>
    <w:p w14:paraId="3A19EA1E" w14:textId="77777777" w:rsidR="00915D7A" w:rsidRPr="00915D7A" w:rsidRDefault="00915D7A" w:rsidP="00915D7A">
      <w:pPr>
        <w:spacing w:line="240" w:lineRule="auto"/>
        <w:contextualSpacing/>
        <w:rPr>
          <w:rFonts w:ascii="Times New Roman" w:hAnsi="Times New Roman" w:cs="Times New Roman"/>
          <w:b/>
          <w:bCs/>
          <w:sz w:val="26"/>
          <w:szCs w:val="26"/>
        </w:rPr>
      </w:pPr>
    </w:p>
    <w:p w14:paraId="57FD2936" w14:textId="77777777" w:rsidR="00915D7A" w:rsidRPr="00915D7A" w:rsidRDefault="00915D7A" w:rsidP="00915D7A">
      <w:pPr>
        <w:spacing w:line="240" w:lineRule="auto"/>
        <w:contextualSpacing/>
        <w:rPr>
          <w:rFonts w:ascii="Times New Roman" w:hAnsi="Times New Roman" w:cs="Times New Roman"/>
          <w:b/>
          <w:bCs/>
          <w:sz w:val="26"/>
          <w:szCs w:val="26"/>
        </w:rPr>
      </w:pPr>
    </w:p>
    <w:p w14:paraId="2BC0F59D" w14:textId="0F374FCD" w:rsidR="003F0F9D" w:rsidRPr="00915D7A" w:rsidRDefault="003F0F9D" w:rsidP="00915D7A">
      <w:pPr>
        <w:spacing w:line="240" w:lineRule="auto"/>
        <w:contextualSpacing/>
        <w:rPr>
          <w:rFonts w:ascii="Times New Roman" w:hAnsi="Times New Roman" w:cs="Times New Roman"/>
          <w:b/>
          <w:bCs/>
          <w:sz w:val="26"/>
          <w:szCs w:val="26"/>
        </w:rPr>
      </w:pPr>
      <w:r w:rsidRPr="00915D7A">
        <w:rPr>
          <w:rFonts w:ascii="Times New Roman" w:hAnsi="Times New Roman" w:cs="Times New Roman"/>
          <w:b/>
          <w:bCs/>
          <w:sz w:val="26"/>
          <w:szCs w:val="26"/>
        </w:rPr>
        <w:t>Educando en la diversidad mediante propuestas musicales y artísticas</w:t>
      </w:r>
    </w:p>
    <w:p w14:paraId="78464216" w14:textId="77777777" w:rsidR="00915D7A" w:rsidRPr="00CC12AA" w:rsidRDefault="00915D7A" w:rsidP="00915D7A">
      <w:pPr>
        <w:spacing w:line="240" w:lineRule="auto"/>
        <w:contextualSpacing/>
        <w:jc w:val="both"/>
        <w:rPr>
          <w:rFonts w:ascii="Times New Roman" w:hAnsi="Times New Roman" w:cs="Times New Roman"/>
          <w:sz w:val="22"/>
          <w:szCs w:val="22"/>
        </w:rPr>
      </w:pPr>
    </w:p>
    <w:p w14:paraId="17CF488F" w14:textId="55A7BCF7" w:rsidR="00915D7A" w:rsidRPr="00CC12AA" w:rsidRDefault="00CC12AA" w:rsidP="00915D7A">
      <w:pPr>
        <w:spacing w:line="240" w:lineRule="auto"/>
        <w:contextualSpacing/>
        <w:jc w:val="both"/>
        <w:rPr>
          <w:rFonts w:ascii="Times New Roman" w:hAnsi="Times New Roman" w:cs="Times New Roman"/>
          <w:b/>
          <w:bCs/>
          <w:sz w:val="22"/>
          <w:szCs w:val="22"/>
        </w:rPr>
      </w:pPr>
      <w:r>
        <w:rPr>
          <w:rFonts w:ascii="Times New Roman" w:hAnsi="Times New Roman" w:cs="Times New Roman"/>
          <w:b/>
          <w:bCs/>
          <w:sz w:val="22"/>
          <w:szCs w:val="22"/>
        </w:rPr>
        <w:t>Olga María Alegre de la Rosa</w:t>
      </w:r>
    </w:p>
    <w:p w14:paraId="729A5419" w14:textId="2EFA72C7" w:rsidR="00915D7A" w:rsidRPr="00CC12AA" w:rsidRDefault="00CC12AA" w:rsidP="00915D7A">
      <w:pPr>
        <w:spacing w:line="240" w:lineRule="auto"/>
        <w:contextualSpacing/>
        <w:jc w:val="both"/>
        <w:rPr>
          <w:rFonts w:ascii="Times New Roman" w:hAnsi="Times New Roman" w:cs="Times New Roman"/>
          <w:sz w:val="22"/>
          <w:szCs w:val="22"/>
        </w:rPr>
      </w:pPr>
      <w:r>
        <w:rPr>
          <w:rFonts w:ascii="Times New Roman" w:hAnsi="Times New Roman" w:cs="Times New Roman"/>
          <w:sz w:val="22"/>
          <w:szCs w:val="22"/>
        </w:rPr>
        <w:t>Universidad de La Laguna, España</w:t>
      </w:r>
    </w:p>
    <w:p w14:paraId="5E2A1723" w14:textId="5F465096" w:rsidR="00CC12AA" w:rsidRDefault="00CC12AA" w:rsidP="00915D7A">
      <w:pPr>
        <w:spacing w:line="240" w:lineRule="auto"/>
        <w:contextualSpacing/>
        <w:jc w:val="both"/>
        <w:rPr>
          <w:rFonts w:ascii="Noto Sans" w:hAnsi="Noto Sans" w:cs="Noto Sans"/>
          <w:sz w:val="21"/>
          <w:szCs w:val="21"/>
          <w:shd w:val="clear" w:color="auto" w:fill="FFFFFF"/>
        </w:rPr>
      </w:pPr>
      <w:hyperlink r:id="rId8" w:history="1">
        <w:r w:rsidRPr="009B6557">
          <w:rPr>
            <w:rStyle w:val="Hipervnculo"/>
            <w:rFonts w:ascii="Noto Sans" w:hAnsi="Noto Sans" w:cs="Noto Sans"/>
            <w:sz w:val="21"/>
            <w:szCs w:val="21"/>
            <w:shd w:val="clear" w:color="auto" w:fill="FFFFFF"/>
          </w:rPr>
          <w:t>oalegre@ull.edu.es</w:t>
        </w:r>
      </w:hyperlink>
    </w:p>
    <w:p w14:paraId="0816CCDE" w14:textId="66C422A0" w:rsidR="00915D7A" w:rsidRDefault="00915D7A" w:rsidP="00915D7A">
      <w:pPr>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 xml:space="preserve">ORCID: </w:t>
      </w:r>
      <w:hyperlink r:id="rId9" w:history="1">
        <w:r w:rsidR="00CC12AA" w:rsidRPr="009B6557">
          <w:rPr>
            <w:rStyle w:val="Hipervnculo"/>
            <w:rFonts w:ascii="Times New Roman" w:hAnsi="Times New Roman" w:cs="Times New Roman"/>
            <w:sz w:val="22"/>
            <w:szCs w:val="22"/>
          </w:rPr>
          <w:t>https://orcid.org/0000-0003-0504-0848</w:t>
        </w:r>
      </w:hyperlink>
    </w:p>
    <w:p w14:paraId="5CF605FC" w14:textId="77777777" w:rsidR="00CC12AA" w:rsidRPr="00CC12AA" w:rsidRDefault="00CC12AA" w:rsidP="00915D7A">
      <w:pPr>
        <w:spacing w:line="240" w:lineRule="auto"/>
        <w:contextualSpacing/>
        <w:jc w:val="both"/>
        <w:rPr>
          <w:rFonts w:ascii="Times New Roman" w:hAnsi="Times New Roman" w:cs="Times New Roman"/>
          <w:sz w:val="22"/>
          <w:szCs w:val="22"/>
        </w:rPr>
      </w:pPr>
    </w:p>
    <w:p w14:paraId="4E2F3695" w14:textId="14759F0C" w:rsidR="00915D7A" w:rsidRPr="00CC12AA" w:rsidRDefault="00CC12AA" w:rsidP="00915D7A">
      <w:pPr>
        <w:spacing w:line="240" w:lineRule="auto"/>
        <w:contextualSpacing/>
        <w:jc w:val="both"/>
        <w:rPr>
          <w:rFonts w:ascii="Times New Roman" w:hAnsi="Times New Roman" w:cs="Times New Roman"/>
          <w:b/>
          <w:bCs/>
          <w:sz w:val="22"/>
          <w:szCs w:val="22"/>
        </w:rPr>
      </w:pPr>
      <w:r w:rsidRPr="00CC12AA">
        <w:rPr>
          <w:rFonts w:ascii="Times New Roman" w:hAnsi="Times New Roman" w:cs="Times New Roman"/>
          <w:b/>
          <w:bCs/>
          <w:sz w:val="22"/>
          <w:szCs w:val="22"/>
        </w:rPr>
        <w:t xml:space="preserve">Vicenta Gisbert </w:t>
      </w:r>
      <w:proofErr w:type="spellStart"/>
      <w:r w:rsidRPr="00CC12AA">
        <w:rPr>
          <w:rFonts w:ascii="Times New Roman" w:hAnsi="Times New Roman" w:cs="Times New Roman"/>
          <w:b/>
          <w:bCs/>
          <w:sz w:val="22"/>
          <w:szCs w:val="22"/>
        </w:rPr>
        <w:t>Caudelli</w:t>
      </w:r>
      <w:proofErr w:type="spellEnd"/>
    </w:p>
    <w:p w14:paraId="070D80F1" w14:textId="77777777" w:rsidR="00CC12AA" w:rsidRDefault="00CC12AA" w:rsidP="00915D7A">
      <w:pPr>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Universidad Autónoma de Madrid, UAM, España</w:t>
      </w:r>
    </w:p>
    <w:p w14:paraId="45843075" w14:textId="3CAA8572" w:rsidR="00CC12AA" w:rsidRDefault="00CC12AA" w:rsidP="00915D7A">
      <w:pPr>
        <w:spacing w:line="240" w:lineRule="auto"/>
        <w:contextualSpacing/>
        <w:jc w:val="both"/>
        <w:rPr>
          <w:rFonts w:ascii="Times New Roman" w:hAnsi="Times New Roman" w:cs="Times New Roman"/>
          <w:sz w:val="22"/>
          <w:szCs w:val="22"/>
          <w:lang w:val="en-US"/>
        </w:rPr>
      </w:pPr>
      <w:hyperlink r:id="rId10" w:history="1">
        <w:r w:rsidRPr="009B6557">
          <w:rPr>
            <w:rStyle w:val="Hipervnculo"/>
            <w:rFonts w:ascii="Times New Roman" w:hAnsi="Times New Roman" w:cs="Times New Roman"/>
            <w:sz w:val="22"/>
            <w:szCs w:val="22"/>
            <w:lang w:val="en-US"/>
          </w:rPr>
          <w:t>vicenta.gisbert@uam.es</w:t>
        </w:r>
      </w:hyperlink>
    </w:p>
    <w:p w14:paraId="2F06889D" w14:textId="35D84963" w:rsidR="00915D7A" w:rsidRDefault="00915D7A" w:rsidP="00915D7A">
      <w:pPr>
        <w:spacing w:line="240" w:lineRule="auto"/>
        <w:contextualSpacing/>
        <w:jc w:val="both"/>
        <w:rPr>
          <w:rFonts w:ascii="Times New Roman" w:hAnsi="Times New Roman" w:cs="Times New Roman"/>
          <w:sz w:val="22"/>
          <w:szCs w:val="22"/>
          <w:lang w:val="en-US"/>
        </w:rPr>
      </w:pPr>
      <w:r w:rsidRPr="00CC12AA">
        <w:rPr>
          <w:rFonts w:ascii="Times New Roman" w:hAnsi="Times New Roman" w:cs="Times New Roman"/>
          <w:sz w:val="22"/>
          <w:szCs w:val="22"/>
          <w:lang w:val="en-US"/>
        </w:rPr>
        <w:t xml:space="preserve">ORCID: </w:t>
      </w:r>
      <w:hyperlink r:id="rId11" w:history="1">
        <w:r w:rsidR="00CC12AA" w:rsidRPr="009B6557">
          <w:rPr>
            <w:rStyle w:val="Hipervnculo"/>
            <w:rFonts w:ascii="Times New Roman" w:hAnsi="Times New Roman" w:cs="Times New Roman"/>
            <w:sz w:val="22"/>
            <w:szCs w:val="22"/>
            <w:lang w:val="en-US"/>
          </w:rPr>
          <w:t>https://orcid.org/0000-0003-1763-1143</w:t>
        </w:r>
      </w:hyperlink>
    </w:p>
    <w:p w14:paraId="1183422E" w14:textId="77777777" w:rsidR="00CC12AA" w:rsidRPr="00CC12AA" w:rsidRDefault="00CC12AA" w:rsidP="00915D7A">
      <w:pPr>
        <w:spacing w:line="240" w:lineRule="auto"/>
        <w:contextualSpacing/>
        <w:jc w:val="both"/>
        <w:rPr>
          <w:rFonts w:ascii="Times New Roman" w:hAnsi="Times New Roman" w:cs="Times New Roman"/>
          <w:sz w:val="22"/>
          <w:szCs w:val="22"/>
          <w:lang w:val="en-US"/>
        </w:rPr>
      </w:pPr>
    </w:p>
    <w:p w14:paraId="6BCF45D1" w14:textId="77777777" w:rsidR="00915D7A" w:rsidRPr="00CC12AA" w:rsidRDefault="00915D7A" w:rsidP="00915D7A">
      <w:pPr>
        <w:spacing w:line="240" w:lineRule="auto"/>
        <w:contextualSpacing/>
        <w:jc w:val="both"/>
        <w:rPr>
          <w:rFonts w:ascii="Times New Roman" w:hAnsi="Times New Roman" w:cs="Times New Roman"/>
          <w:sz w:val="22"/>
          <w:szCs w:val="22"/>
          <w:lang w:val="en-US"/>
        </w:rPr>
      </w:pPr>
    </w:p>
    <w:p w14:paraId="606CBBDB" w14:textId="01F342CB" w:rsidR="00915D7A" w:rsidRPr="00CC12AA" w:rsidRDefault="00915D7A" w:rsidP="00915D7A">
      <w:pPr>
        <w:spacing w:line="240" w:lineRule="auto"/>
        <w:ind w:left="1258"/>
        <w:contextualSpacing/>
        <w:jc w:val="right"/>
        <w:rPr>
          <w:rFonts w:ascii="Times New Roman" w:eastAsia="Times New Roman" w:hAnsi="Times New Roman" w:cs="Times New Roman"/>
          <w:color w:val="7F7F7F" w:themeColor="text1" w:themeTint="80"/>
          <w:sz w:val="22"/>
          <w:szCs w:val="22"/>
          <w:lang w:val="en-US"/>
        </w:rPr>
      </w:pPr>
      <w:r w:rsidRPr="00CC12AA">
        <w:rPr>
          <w:rFonts w:ascii="Times New Roman" w:hAnsi="Times New Roman" w:cs="Times New Roman"/>
          <w:color w:val="7F7F7F" w:themeColor="text1" w:themeTint="80"/>
          <w:spacing w:val="-3"/>
          <w:sz w:val="22"/>
          <w:szCs w:val="22"/>
          <w:lang w:val="en-US"/>
        </w:rPr>
        <w:t>Received:</w:t>
      </w:r>
      <w:r w:rsidRPr="00CC12AA">
        <w:rPr>
          <w:rFonts w:ascii="Times New Roman" w:hAnsi="Times New Roman" w:cs="Times New Roman"/>
          <w:color w:val="7F7F7F" w:themeColor="text1" w:themeTint="80"/>
          <w:spacing w:val="-4"/>
          <w:sz w:val="22"/>
          <w:szCs w:val="22"/>
          <w:lang w:val="en-US"/>
        </w:rPr>
        <w:t xml:space="preserve"> </w:t>
      </w:r>
      <w:r w:rsidR="00CC12AA" w:rsidRPr="00CC12AA">
        <w:rPr>
          <w:rFonts w:ascii="Times New Roman" w:hAnsi="Times New Roman" w:cs="Times New Roman"/>
          <w:color w:val="7F7F7F" w:themeColor="text1" w:themeTint="80"/>
          <w:spacing w:val="-1"/>
          <w:sz w:val="22"/>
          <w:szCs w:val="22"/>
          <w:lang w:val="en-US"/>
        </w:rPr>
        <w:t>15</w:t>
      </w:r>
      <w:r w:rsidRPr="00CC12AA">
        <w:rPr>
          <w:rFonts w:ascii="Times New Roman" w:hAnsi="Times New Roman" w:cs="Times New Roman"/>
          <w:color w:val="7F7F7F" w:themeColor="text1" w:themeTint="80"/>
          <w:spacing w:val="-4"/>
          <w:sz w:val="22"/>
          <w:szCs w:val="22"/>
          <w:lang w:val="en-US"/>
        </w:rPr>
        <w:t xml:space="preserve"> </w:t>
      </w:r>
      <w:r w:rsidRPr="00CC12AA">
        <w:rPr>
          <w:rFonts w:ascii="Times New Roman" w:hAnsi="Times New Roman" w:cs="Times New Roman"/>
          <w:color w:val="7F7F7F" w:themeColor="text1" w:themeTint="80"/>
          <w:spacing w:val="-3"/>
          <w:sz w:val="22"/>
          <w:szCs w:val="22"/>
          <w:lang w:val="en-US"/>
        </w:rPr>
        <w:t>October</w:t>
      </w:r>
      <w:r w:rsidRPr="00CC12AA">
        <w:rPr>
          <w:rFonts w:ascii="Times New Roman" w:hAnsi="Times New Roman" w:cs="Times New Roman"/>
          <w:color w:val="7F7F7F" w:themeColor="text1" w:themeTint="80"/>
          <w:spacing w:val="-8"/>
          <w:sz w:val="22"/>
          <w:szCs w:val="22"/>
          <w:lang w:val="en-US"/>
        </w:rPr>
        <w:t xml:space="preserve"> </w:t>
      </w:r>
      <w:r w:rsidRPr="00CC12AA">
        <w:rPr>
          <w:rFonts w:ascii="Times New Roman" w:hAnsi="Times New Roman" w:cs="Times New Roman"/>
          <w:color w:val="7F7F7F" w:themeColor="text1" w:themeTint="80"/>
          <w:spacing w:val="-2"/>
          <w:sz w:val="22"/>
          <w:szCs w:val="22"/>
          <w:lang w:val="en-US"/>
        </w:rPr>
        <w:t>2025</w:t>
      </w:r>
      <w:r w:rsidRPr="00CC12AA">
        <w:rPr>
          <w:rFonts w:ascii="Times New Roman" w:hAnsi="Times New Roman" w:cs="Times New Roman"/>
          <w:color w:val="7F7F7F" w:themeColor="text1" w:themeTint="80"/>
          <w:spacing w:val="-4"/>
          <w:sz w:val="22"/>
          <w:szCs w:val="22"/>
          <w:lang w:val="en-US"/>
        </w:rPr>
        <w:t xml:space="preserve"> </w:t>
      </w:r>
      <w:r w:rsidRPr="00CC12AA">
        <w:rPr>
          <w:rFonts w:ascii="Times New Roman" w:hAnsi="Times New Roman" w:cs="Times New Roman"/>
          <w:color w:val="7F7F7F" w:themeColor="text1" w:themeTint="80"/>
          <w:sz w:val="22"/>
          <w:szCs w:val="22"/>
          <w:lang w:val="en-US"/>
        </w:rPr>
        <w:t>/</w:t>
      </w:r>
      <w:r w:rsidRPr="00CC12AA">
        <w:rPr>
          <w:rFonts w:ascii="Times New Roman" w:hAnsi="Times New Roman" w:cs="Times New Roman"/>
          <w:color w:val="7F7F7F" w:themeColor="text1" w:themeTint="80"/>
          <w:spacing w:val="-4"/>
          <w:sz w:val="22"/>
          <w:szCs w:val="22"/>
          <w:lang w:val="en-US"/>
        </w:rPr>
        <w:t xml:space="preserve"> </w:t>
      </w:r>
      <w:r w:rsidRPr="00CC12AA">
        <w:rPr>
          <w:rFonts w:ascii="Times New Roman" w:hAnsi="Times New Roman" w:cs="Times New Roman"/>
          <w:color w:val="7F7F7F" w:themeColor="text1" w:themeTint="80"/>
          <w:spacing w:val="-3"/>
          <w:sz w:val="22"/>
          <w:szCs w:val="22"/>
          <w:lang w:val="en-US"/>
        </w:rPr>
        <w:t>Accepted:</w:t>
      </w:r>
      <w:r w:rsidRPr="00CC12AA">
        <w:rPr>
          <w:rFonts w:ascii="Times New Roman" w:hAnsi="Times New Roman" w:cs="Times New Roman"/>
          <w:color w:val="7F7F7F" w:themeColor="text1" w:themeTint="80"/>
          <w:spacing w:val="-4"/>
          <w:sz w:val="22"/>
          <w:szCs w:val="22"/>
          <w:lang w:val="en-US"/>
        </w:rPr>
        <w:t xml:space="preserve"> </w:t>
      </w:r>
      <w:r w:rsidR="00CC12AA" w:rsidRPr="00CC12AA">
        <w:rPr>
          <w:rFonts w:ascii="Times New Roman" w:hAnsi="Times New Roman" w:cs="Times New Roman"/>
          <w:color w:val="7F7F7F" w:themeColor="text1" w:themeTint="80"/>
          <w:spacing w:val="-1"/>
          <w:sz w:val="22"/>
          <w:szCs w:val="22"/>
          <w:lang w:val="en-US"/>
        </w:rPr>
        <w:t xml:space="preserve">8 </w:t>
      </w:r>
      <w:r w:rsidR="00CC12AA" w:rsidRPr="00CC12AA">
        <w:rPr>
          <w:rFonts w:ascii="Times New Roman" w:hAnsi="Times New Roman" w:cs="Times New Roman"/>
          <w:color w:val="7F7F7F" w:themeColor="text1" w:themeTint="80"/>
          <w:spacing w:val="-3"/>
          <w:sz w:val="22"/>
          <w:szCs w:val="22"/>
          <w:lang w:val="en-US"/>
        </w:rPr>
        <w:t>Abril</w:t>
      </w:r>
      <w:r w:rsidRPr="00CC12AA">
        <w:rPr>
          <w:rFonts w:ascii="Times New Roman" w:hAnsi="Times New Roman" w:cs="Times New Roman"/>
          <w:color w:val="7F7F7F" w:themeColor="text1" w:themeTint="80"/>
          <w:spacing w:val="-8"/>
          <w:sz w:val="22"/>
          <w:szCs w:val="22"/>
          <w:lang w:val="en-US"/>
        </w:rPr>
        <w:t xml:space="preserve"> </w:t>
      </w:r>
      <w:r w:rsidRPr="00CC12AA">
        <w:rPr>
          <w:rFonts w:ascii="Times New Roman" w:hAnsi="Times New Roman" w:cs="Times New Roman"/>
          <w:color w:val="7F7F7F" w:themeColor="text1" w:themeTint="80"/>
          <w:spacing w:val="-2"/>
          <w:sz w:val="22"/>
          <w:szCs w:val="22"/>
          <w:lang w:val="en-US"/>
        </w:rPr>
        <w:t>2026</w:t>
      </w:r>
    </w:p>
    <w:p w14:paraId="4684DAF1" w14:textId="77777777" w:rsidR="00915D7A" w:rsidRPr="00CC12AA" w:rsidRDefault="00915D7A" w:rsidP="00915D7A">
      <w:pPr>
        <w:spacing w:line="240" w:lineRule="auto"/>
        <w:contextualSpacing/>
        <w:jc w:val="both"/>
        <w:rPr>
          <w:rFonts w:ascii="Times New Roman" w:hAnsi="Times New Roman" w:cs="Times New Roman"/>
          <w:color w:val="EE0000"/>
          <w:sz w:val="22"/>
          <w:szCs w:val="22"/>
          <w:lang w:val="en-US"/>
        </w:rPr>
      </w:pPr>
    </w:p>
    <w:p w14:paraId="32343B1F" w14:textId="77777777" w:rsidR="00915D7A" w:rsidRPr="00CC12AA" w:rsidRDefault="00915D7A" w:rsidP="00915D7A">
      <w:pPr>
        <w:spacing w:line="240" w:lineRule="auto"/>
        <w:contextualSpacing/>
        <w:jc w:val="both"/>
        <w:rPr>
          <w:rFonts w:ascii="Times New Roman" w:hAnsi="Times New Roman" w:cs="Times New Roman"/>
          <w:color w:val="EE0000"/>
          <w:sz w:val="22"/>
          <w:szCs w:val="22"/>
          <w:lang w:val="en-US"/>
        </w:rPr>
      </w:pPr>
    </w:p>
    <w:p w14:paraId="25E43829" w14:textId="7FFD4670" w:rsidR="00D45FCA" w:rsidRPr="00CC12AA" w:rsidRDefault="00D45FCA" w:rsidP="00915D7A">
      <w:pPr>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 xml:space="preserve">La educación contemporánea se enfrenta al desafío de responder a sociedades cada vez más diversas, complejas e interconectadas. Las artes, en especial la música, se consolidan como herramientas pedagógicas capaces de favorecer la inclusión, el diálogo intercultural y el desarrollo integral del alumnado. Diversos estudios han puesto de manifiesto que la educación artística no solo contribuye al desarrollo de competencias creativas y expresivas, sino que también promueve valores fundamentales como la empatía, la cooperación y el respeto por la diversidad cultural (Hallam, 2010; UNESCO, 2022). En esta línea, el presente número monográfico de la revista </w:t>
      </w:r>
      <w:r w:rsidRPr="00CC12AA">
        <w:rPr>
          <w:rFonts w:ascii="Times New Roman" w:hAnsi="Times New Roman" w:cs="Times New Roman"/>
          <w:i/>
          <w:iCs/>
          <w:sz w:val="22"/>
          <w:szCs w:val="22"/>
        </w:rPr>
        <w:t>Estilos de Aprendizaje</w:t>
      </w:r>
      <w:r w:rsidRPr="00CC12AA">
        <w:rPr>
          <w:rFonts w:ascii="Times New Roman" w:hAnsi="Times New Roman" w:cs="Times New Roman"/>
          <w:sz w:val="22"/>
          <w:szCs w:val="22"/>
        </w:rPr>
        <w:t xml:space="preserve">, titulado </w:t>
      </w:r>
      <w:r w:rsidRPr="00CC12AA">
        <w:rPr>
          <w:rFonts w:ascii="Times New Roman" w:hAnsi="Times New Roman" w:cs="Times New Roman"/>
          <w:i/>
          <w:iCs/>
          <w:sz w:val="22"/>
          <w:szCs w:val="22"/>
        </w:rPr>
        <w:t>“Educando en la diversidad mediante propuestas musicales y artísticas”</w:t>
      </w:r>
      <w:r w:rsidRPr="00CC12AA">
        <w:rPr>
          <w:rFonts w:ascii="Times New Roman" w:hAnsi="Times New Roman" w:cs="Times New Roman"/>
          <w:sz w:val="22"/>
          <w:szCs w:val="22"/>
        </w:rPr>
        <w:t xml:space="preserve">, reúne diversas investigaciones que analizan el potencial de las prácticas artísticas para abordar los retos educativos contemporáneos desde perspectivas pedagógicas y socioculturales </w:t>
      </w:r>
      <w:r w:rsidR="00997FE7" w:rsidRPr="00CC12AA">
        <w:rPr>
          <w:rFonts w:ascii="Times New Roman" w:hAnsi="Times New Roman" w:cs="Times New Roman"/>
          <w:sz w:val="22"/>
          <w:szCs w:val="22"/>
        </w:rPr>
        <w:t>heterogéneas</w:t>
      </w:r>
      <w:r w:rsidRPr="00CC12AA">
        <w:rPr>
          <w:rFonts w:ascii="Times New Roman" w:hAnsi="Times New Roman" w:cs="Times New Roman"/>
          <w:sz w:val="22"/>
          <w:szCs w:val="22"/>
        </w:rPr>
        <w:t>.</w:t>
      </w:r>
    </w:p>
    <w:p w14:paraId="15DE5021" w14:textId="4B9839C4" w:rsidR="006D5F30" w:rsidRPr="00CC12AA" w:rsidRDefault="00CC12AA" w:rsidP="00CC12A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6D5F30" w:rsidRPr="00CC12AA">
        <w:rPr>
          <w:rFonts w:ascii="Times New Roman" w:hAnsi="Times New Roman" w:cs="Times New Roman"/>
          <w:sz w:val="22"/>
          <w:szCs w:val="22"/>
        </w:rPr>
        <w:t>El presente monográfico surge ante diversas problemáticas detectadas en el ámbito educativo contemporáneo, entre las que destacan la dificultad para responder pedagógicamente a la creciente diversidad cultural y social presente en las aulas, la necesidad de promover prácticas educativas inclusivas que garanticen la participación de todo el alumnado y la limitada integración de las artes como herramientas pedagógicas en muchos contextos educativos. A pesar del reconocimiento institucional del valor de la educación artística, su presencia en los sistemas educativos continúa siendo desigual y, en ocasiones, subordinada a enfoques curriculares más instrumentales.</w:t>
      </w:r>
    </w:p>
    <w:p w14:paraId="6E7D017B" w14:textId="29ECFB02" w:rsidR="006D5F30" w:rsidRPr="00CC12AA" w:rsidRDefault="00CC12AA" w:rsidP="00CC12A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6D5F30" w:rsidRPr="00CC12AA">
        <w:rPr>
          <w:rFonts w:ascii="Times New Roman" w:hAnsi="Times New Roman" w:cs="Times New Roman"/>
          <w:sz w:val="22"/>
          <w:szCs w:val="22"/>
        </w:rPr>
        <w:t>El objetivo de este número monográfico es analizar y visibilizar, desde diferentes perspectivas investigadoras, cómo las propuestas musicales y artísticas pueden contribuir a la construcción de entornos educativos más inclusivos, equitativos y culturalmente sensibles. Los trabajos reunidos exploran experiencias pedagógicas, enfoques metodológicos e investigaciones educativas que muestran el potencial de la música y las artes para favorecer procesos de aprendizaje significativos en contextos educativos distintos.</w:t>
      </w:r>
    </w:p>
    <w:p w14:paraId="131016C4" w14:textId="0366374C" w:rsidR="00A4764C" w:rsidRPr="00CC12AA" w:rsidRDefault="00CC12AA" w:rsidP="00915D7A">
      <w:pPr>
        <w:tabs>
          <w:tab w:val="left" w:pos="284"/>
        </w:tabs>
        <w:spacing w:line="240" w:lineRule="auto"/>
        <w:contextualSpacing/>
        <w:jc w:val="both"/>
        <w:rPr>
          <w:rFonts w:ascii="Times New Roman" w:hAnsi="Times New Roman" w:cs="Times New Roman"/>
          <w:b/>
          <w:bCs/>
          <w:sz w:val="22"/>
          <w:szCs w:val="22"/>
        </w:rPr>
      </w:pPr>
      <w:r w:rsidRPr="00CC12AA">
        <w:rPr>
          <w:rFonts w:ascii="Times New Roman" w:hAnsi="Times New Roman" w:cs="Times New Roman"/>
          <w:sz w:val="22"/>
          <w:szCs w:val="22"/>
        </w:rPr>
        <w:tab/>
      </w:r>
      <w:r w:rsidR="00593ABC" w:rsidRPr="00CC12AA">
        <w:rPr>
          <w:rFonts w:ascii="Times New Roman" w:hAnsi="Times New Roman" w:cs="Times New Roman"/>
          <w:sz w:val="22"/>
          <w:szCs w:val="22"/>
        </w:rPr>
        <w:t>La música, en su dimensión educativa, no solo tiene un papel estético o técnico, representa</w:t>
      </w:r>
      <w:r w:rsidR="006B2419" w:rsidRPr="00CC12AA">
        <w:rPr>
          <w:rFonts w:ascii="Times New Roman" w:hAnsi="Times New Roman" w:cs="Times New Roman"/>
          <w:sz w:val="22"/>
          <w:szCs w:val="22"/>
        </w:rPr>
        <w:t xml:space="preserve"> además</w:t>
      </w:r>
      <w:r w:rsidR="00593ABC" w:rsidRPr="00CC12AA">
        <w:rPr>
          <w:rFonts w:ascii="Times New Roman" w:hAnsi="Times New Roman" w:cs="Times New Roman"/>
          <w:sz w:val="22"/>
          <w:szCs w:val="22"/>
        </w:rPr>
        <w:t xml:space="preserve"> una puerta de acceso a experiencias de aprendizaje significativas y socialmente relevantes. Investigaciones recientes han mostrado que las prácticas musicales inclusivas, tanto en contextos formales como no formales, promueven la igualdad, la justicia social y la </w:t>
      </w:r>
      <w:proofErr w:type="gramStart"/>
      <w:r w:rsidR="00593ABC" w:rsidRPr="00CC12AA">
        <w:rPr>
          <w:rFonts w:ascii="Times New Roman" w:hAnsi="Times New Roman" w:cs="Times New Roman"/>
          <w:sz w:val="22"/>
          <w:szCs w:val="22"/>
        </w:rPr>
        <w:t>participación activa</w:t>
      </w:r>
      <w:proofErr w:type="gramEnd"/>
      <w:r w:rsidR="00593ABC" w:rsidRPr="00CC12AA">
        <w:rPr>
          <w:rFonts w:ascii="Times New Roman" w:hAnsi="Times New Roman" w:cs="Times New Roman"/>
          <w:sz w:val="22"/>
          <w:szCs w:val="22"/>
        </w:rPr>
        <w:t xml:space="preserve"> de grupos </w:t>
      </w:r>
      <w:r w:rsidR="00997FE7" w:rsidRPr="00CC12AA">
        <w:rPr>
          <w:rFonts w:ascii="Times New Roman" w:hAnsi="Times New Roman" w:cs="Times New Roman"/>
          <w:sz w:val="22"/>
          <w:szCs w:val="22"/>
        </w:rPr>
        <w:lastRenderedPageBreak/>
        <w:t>variados</w:t>
      </w:r>
      <w:r w:rsidR="00593ABC" w:rsidRPr="00CC12AA">
        <w:rPr>
          <w:rFonts w:ascii="Times New Roman" w:hAnsi="Times New Roman" w:cs="Times New Roman"/>
          <w:sz w:val="22"/>
          <w:szCs w:val="22"/>
        </w:rPr>
        <w:t xml:space="preserve">, y pueden favorecer el desarrollo de competencias interculturales </w:t>
      </w:r>
      <w:r w:rsidR="005621C0" w:rsidRPr="00CC12AA">
        <w:rPr>
          <w:rFonts w:ascii="Times New Roman" w:hAnsi="Times New Roman" w:cs="Times New Roman"/>
          <w:sz w:val="22"/>
          <w:szCs w:val="22"/>
        </w:rPr>
        <w:t xml:space="preserve">y bienestar emocional </w:t>
      </w:r>
      <w:r w:rsidR="00593ABC" w:rsidRPr="00CC12AA">
        <w:rPr>
          <w:rFonts w:ascii="Times New Roman" w:hAnsi="Times New Roman" w:cs="Times New Roman"/>
          <w:sz w:val="22"/>
          <w:szCs w:val="22"/>
        </w:rPr>
        <w:t>en entornos educativos plurales (Bravo</w:t>
      </w:r>
      <w:r w:rsidR="00593ABC" w:rsidRPr="00CC12AA">
        <w:rPr>
          <w:rFonts w:ascii="Times New Roman" w:hAnsi="Times New Roman" w:cs="Times New Roman"/>
          <w:sz w:val="22"/>
          <w:szCs w:val="22"/>
        </w:rPr>
        <w:noBreakHyphen/>
        <w:t>Yebra et al., 2025; Juan</w:t>
      </w:r>
      <w:r w:rsidR="00593ABC" w:rsidRPr="00CC12AA">
        <w:rPr>
          <w:rFonts w:ascii="Times New Roman" w:hAnsi="Times New Roman" w:cs="Times New Roman"/>
          <w:sz w:val="22"/>
          <w:szCs w:val="22"/>
        </w:rPr>
        <w:noBreakHyphen/>
        <w:t>Morera et al., 2023</w:t>
      </w:r>
      <w:r w:rsidR="005621C0" w:rsidRPr="00CC12AA">
        <w:rPr>
          <w:rFonts w:ascii="Times New Roman" w:hAnsi="Times New Roman" w:cs="Times New Roman"/>
          <w:sz w:val="22"/>
          <w:szCs w:val="22"/>
        </w:rPr>
        <w:t xml:space="preserve">; Sánchez-Camacho </w:t>
      </w:r>
      <w:r w:rsidR="0031770E" w:rsidRPr="00CC12AA">
        <w:rPr>
          <w:rFonts w:ascii="Times New Roman" w:hAnsi="Times New Roman" w:cs="Times New Roman"/>
          <w:sz w:val="22"/>
          <w:szCs w:val="22"/>
        </w:rPr>
        <w:t xml:space="preserve">&amp; </w:t>
      </w:r>
      <w:r w:rsidR="005621C0" w:rsidRPr="00CC12AA">
        <w:rPr>
          <w:rFonts w:ascii="Times New Roman" w:hAnsi="Times New Roman" w:cs="Times New Roman"/>
          <w:sz w:val="22"/>
          <w:szCs w:val="22"/>
        </w:rPr>
        <w:t>Grané i Oro, 2025</w:t>
      </w:r>
      <w:r w:rsidR="00593ABC" w:rsidRPr="00CC12AA">
        <w:rPr>
          <w:rFonts w:ascii="Times New Roman" w:hAnsi="Times New Roman" w:cs="Times New Roman"/>
          <w:sz w:val="22"/>
          <w:szCs w:val="22"/>
        </w:rPr>
        <w:t>).</w:t>
      </w:r>
    </w:p>
    <w:p w14:paraId="4928DBAB" w14:textId="03642199" w:rsidR="00264628" w:rsidRPr="00CC12AA" w:rsidRDefault="00CC12AA" w:rsidP="00915D7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A4764C" w:rsidRPr="00CC12AA">
        <w:rPr>
          <w:rFonts w:ascii="Times New Roman" w:hAnsi="Times New Roman" w:cs="Times New Roman"/>
          <w:sz w:val="22"/>
          <w:szCs w:val="22"/>
        </w:rPr>
        <w:t>Un estudio reciente</w:t>
      </w:r>
      <w:r w:rsidR="0094575F" w:rsidRPr="00CC12AA">
        <w:rPr>
          <w:rFonts w:ascii="Times New Roman" w:hAnsi="Times New Roman" w:cs="Times New Roman"/>
          <w:sz w:val="22"/>
          <w:szCs w:val="22"/>
        </w:rPr>
        <w:t xml:space="preserve"> destaca que las prácticas pedagógicas en educación musical orientadas a la inclusión y la justicia social no solo promueven la </w:t>
      </w:r>
      <w:proofErr w:type="gramStart"/>
      <w:r w:rsidR="0094575F" w:rsidRPr="00CC12AA">
        <w:rPr>
          <w:rFonts w:ascii="Times New Roman" w:hAnsi="Times New Roman" w:cs="Times New Roman"/>
          <w:sz w:val="22"/>
          <w:szCs w:val="22"/>
        </w:rPr>
        <w:t>participación activa</w:t>
      </w:r>
      <w:proofErr w:type="gramEnd"/>
      <w:r w:rsidR="0094575F" w:rsidRPr="00CC12AA">
        <w:rPr>
          <w:rFonts w:ascii="Times New Roman" w:hAnsi="Times New Roman" w:cs="Times New Roman"/>
          <w:sz w:val="22"/>
          <w:szCs w:val="22"/>
        </w:rPr>
        <w:t xml:space="preserve"> de estudiantes con diversas capacidades y contextos, sino que también contribuyen a la construcción de identidades compartidas y al desarrollo socioemocional </w:t>
      </w:r>
      <w:r w:rsidR="00DF1B1B" w:rsidRPr="00CC12AA">
        <w:rPr>
          <w:rFonts w:ascii="Times New Roman" w:hAnsi="Times New Roman" w:cs="Times New Roman"/>
          <w:sz w:val="22"/>
          <w:szCs w:val="22"/>
        </w:rPr>
        <w:t xml:space="preserve">(manejo y reconocimiento de emociones) </w:t>
      </w:r>
      <w:r w:rsidR="0094575F" w:rsidRPr="00CC12AA">
        <w:rPr>
          <w:rFonts w:ascii="Times New Roman" w:hAnsi="Times New Roman" w:cs="Times New Roman"/>
          <w:sz w:val="22"/>
          <w:szCs w:val="22"/>
        </w:rPr>
        <w:t>en entornos educativos heterogéneos (</w:t>
      </w:r>
      <w:r w:rsidR="00DF1B1B" w:rsidRPr="00CC12AA">
        <w:rPr>
          <w:rFonts w:ascii="Times New Roman" w:hAnsi="Times New Roman" w:cs="Times New Roman"/>
          <w:sz w:val="22"/>
          <w:szCs w:val="22"/>
        </w:rPr>
        <w:t xml:space="preserve">Domínguez-Rodríguez </w:t>
      </w:r>
      <w:r w:rsidR="0031770E" w:rsidRPr="00CC12AA">
        <w:rPr>
          <w:rFonts w:ascii="Times New Roman" w:hAnsi="Times New Roman" w:cs="Times New Roman"/>
          <w:sz w:val="22"/>
          <w:szCs w:val="22"/>
        </w:rPr>
        <w:t>&amp;</w:t>
      </w:r>
      <w:r w:rsidR="00DF1B1B" w:rsidRPr="00CC12AA">
        <w:rPr>
          <w:rFonts w:ascii="Times New Roman" w:hAnsi="Times New Roman" w:cs="Times New Roman"/>
          <w:sz w:val="22"/>
          <w:szCs w:val="22"/>
        </w:rPr>
        <w:t xml:space="preserve"> Aznar-Zafra, 2025; </w:t>
      </w:r>
      <w:r w:rsidR="0094575F" w:rsidRPr="00CC12AA">
        <w:rPr>
          <w:rFonts w:ascii="Times New Roman" w:hAnsi="Times New Roman" w:cs="Times New Roman"/>
          <w:sz w:val="22"/>
          <w:szCs w:val="22"/>
        </w:rPr>
        <w:t xml:space="preserve">Van </w:t>
      </w:r>
      <w:proofErr w:type="spellStart"/>
      <w:r w:rsidR="0094575F" w:rsidRPr="00CC12AA">
        <w:rPr>
          <w:rFonts w:ascii="Times New Roman" w:hAnsi="Times New Roman" w:cs="Times New Roman"/>
          <w:sz w:val="22"/>
          <w:szCs w:val="22"/>
        </w:rPr>
        <w:t>der</w:t>
      </w:r>
      <w:proofErr w:type="spellEnd"/>
      <w:r w:rsidR="0094575F" w:rsidRPr="00CC12AA">
        <w:rPr>
          <w:rFonts w:ascii="Times New Roman" w:hAnsi="Times New Roman" w:cs="Times New Roman"/>
          <w:sz w:val="22"/>
          <w:szCs w:val="22"/>
        </w:rPr>
        <w:t xml:space="preserve"> </w:t>
      </w:r>
      <w:proofErr w:type="spellStart"/>
      <w:r w:rsidR="0094575F" w:rsidRPr="00CC12AA">
        <w:rPr>
          <w:rFonts w:ascii="Times New Roman" w:hAnsi="Times New Roman" w:cs="Times New Roman"/>
          <w:sz w:val="22"/>
          <w:szCs w:val="22"/>
        </w:rPr>
        <w:t>Merwe</w:t>
      </w:r>
      <w:proofErr w:type="spellEnd"/>
      <w:r w:rsidR="0094575F" w:rsidRPr="00CC12AA">
        <w:rPr>
          <w:rFonts w:ascii="Times New Roman" w:hAnsi="Times New Roman" w:cs="Times New Roman"/>
          <w:sz w:val="22"/>
          <w:szCs w:val="22"/>
        </w:rPr>
        <w:t xml:space="preserve"> &amp; Burns, 2023). Esta</w:t>
      </w:r>
      <w:r w:rsidR="00A4764C" w:rsidRPr="00CC12AA">
        <w:rPr>
          <w:rFonts w:ascii="Times New Roman" w:hAnsi="Times New Roman" w:cs="Times New Roman"/>
          <w:sz w:val="22"/>
          <w:szCs w:val="22"/>
        </w:rPr>
        <w:t>s</w:t>
      </w:r>
      <w:r w:rsidR="0094575F" w:rsidRPr="00CC12AA">
        <w:rPr>
          <w:rFonts w:ascii="Times New Roman" w:hAnsi="Times New Roman" w:cs="Times New Roman"/>
          <w:sz w:val="22"/>
          <w:szCs w:val="22"/>
        </w:rPr>
        <w:t xml:space="preserve"> evidencia</w:t>
      </w:r>
      <w:r w:rsidR="00A4764C" w:rsidRPr="00CC12AA">
        <w:rPr>
          <w:rFonts w:ascii="Times New Roman" w:hAnsi="Times New Roman" w:cs="Times New Roman"/>
          <w:sz w:val="22"/>
          <w:szCs w:val="22"/>
        </w:rPr>
        <w:t>s</w:t>
      </w:r>
      <w:r w:rsidR="0094575F" w:rsidRPr="00CC12AA">
        <w:rPr>
          <w:rFonts w:ascii="Times New Roman" w:hAnsi="Times New Roman" w:cs="Times New Roman"/>
          <w:sz w:val="22"/>
          <w:szCs w:val="22"/>
        </w:rPr>
        <w:t xml:space="preserve"> reciente</w:t>
      </w:r>
      <w:r w:rsidR="00A4764C" w:rsidRPr="00CC12AA">
        <w:rPr>
          <w:rFonts w:ascii="Times New Roman" w:hAnsi="Times New Roman" w:cs="Times New Roman"/>
          <w:sz w:val="22"/>
          <w:szCs w:val="22"/>
        </w:rPr>
        <w:t>s</w:t>
      </w:r>
      <w:r w:rsidR="0094575F" w:rsidRPr="00CC12AA">
        <w:rPr>
          <w:rFonts w:ascii="Times New Roman" w:hAnsi="Times New Roman" w:cs="Times New Roman"/>
          <w:sz w:val="22"/>
          <w:szCs w:val="22"/>
        </w:rPr>
        <w:t xml:space="preserve"> refuerza</w:t>
      </w:r>
      <w:r w:rsidR="00A4764C" w:rsidRPr="00CC12AA">
        <w:rPr>
          <w:rFonts w:ascii="Times New Roman" w:hAnsi="Times New Roman" w:cs="Times New Roman"/>
          <w:sz w:val="22"/>
          <w:szCs w:val="22"/>
        </w:rPr>
        <w:t>n</w:t>
      </w:r>
      <w:r w:rsidR="0094575F" w:rsidRPr="00CC12AA">
        <w:rPr>
          <w:rFonts w:ascii="Times New Roman" w:hAnsi="Times New Roman" w:cs="Times New Roman"/>
          <w:sz w:val="22"/>
          <w:szCs w:val="22"/>
        </w:rPr>
        <w:t xml:space="preserve"> la idea de que la música, cuando se articula desde propuestas pedagógicas sensibles a la diversidad, tiene un impacto amplio que trasciende la mera adquisición de habilidades musicales. </w:t>
      </w:r>
    </w:p>
    <w:p w14:paraId="3F4B340B" w14:textId="3369ACE5" w:rsidR="00D45FCA" w:rsidRPr="00CC12AA" w:rsidRDefault="00CC12AA" w:rsidP="00915D7A">
      <w:pPr>
        <w:tabs>
          <w:tab w:val="left" w:pos="284"/>
        </w:tabs>
        <w:spacing w:line="240" w:lineRule="auto"/>
        <w:contextualSpacing/>
        <w:jc w:val="both"/>
        <w:rPr>
          <w:rFonts w:ascii="Times New Roman" w:hAnsi="Times New Roman" w:cs="Times New Roman"/>
          <w:b/>
          <w:bCs/>
          <w:sz w:val="22"/>
          <w:szCs w:val="22"/>
        </w:rPr>
      </w:pPr>
      <w:r w:rsidRPr="00CC12AA">
        <w:rPr>
          <w:rFonts w:ascii="Times New Roman" w:hAnsi="Times New Roman" w:cs="Times New Roman"/>
          <w:sz w:val="22"/>
          <w:szCs w:val="22"/>
        </w:rPr>
        <w:tab/>
      </w:r>
      <w:r w:rsidR="0094575F" w:rsidRPr="00CC12AA">
        <w:rPr>
          <w:rFonts w:ascii="Times New Roman" w:hAnsi="Times New Roman" w:cs="Times New Roman"/>
          <w:sz w:val="22"/>
          <w:szCs w:val="22"/>
        </w:rPr>
        <w:t>El</w:t>
      </w:r>
      <w:r w:rsidR="00D45FCA" w:rsidRPr="00CC12AA">
        <w:rPr>
          <w:rFonts w:ascii="Times New Roman" w:hAnsi="Times New Roman" w:cs="Times New Roman"/>
          <w:sz w:val="22"/>
          <w:szCs w:val="22"/>
        </w:rPr>
        <w:t xml:space="preserve"> interés científico en estas experiencias ha crecido de forma notable, y los grupos más estudiados incluyen personas con discapacidad y población en riesgo de exclusión social, destacando el impacto de estas prácticas en la transformación social educativa (Juan</w:t>
      </w:r>
      <w:r w:rsidR="00D45FCA" w:rsidRPr="00CC12AA">
        <w:rPr>
          <w:rFonts w:ascii="Times New Roman" w:hAnsi="Times New Roman" w:cs="Times New Roman"/>
          <w:sz w:val="22"/>
          <w:szCs w:val="22"/>
        </w:rPr>
        <w:noBreakHyphen/>
        <w:t>Morera</w:t>
      </w:r>
      <w:r w:rsidR="00FD781D" w:rsidRPr="00CC12AA">
        <w:rPr>
          <w:rFonts w:ascii="Times New Roman" w:hAnsi="Times New Roman" w:cs="Times New Roman"/>
          <w:sz w:val="22"/>
          <w:szCs w:val="22"/>
        </w:rPr>
        <w:t xml:space="preserve"> et al.</w:t>
      </w:r>
      <w:r w:rsidR="00D45FCA" w:rsidRPr="00CC12AA">
        <w:rPr>
          <w:rFonts w:ascii="Times New Roman" w:hAnsi="Times New Roman" w:cs="Times New Roman"/>
          <w:sz w:val="22"/>
          <w:szCs w:val="22"/>
        </w:rPr>
        <w:t>, 2023).</w:t>
      </w:r>
    </w:p>
    <w:p w14:paraId="431857D9" w14:textId="781A9D83" w:rsidR="00D45FCA" w:rsidRPr="00CC12AA" w:rsidRDefault="00CC12AA" w:rsidP="00915D7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D45FCA" w:rsidRPr="00CC12AA">
        <w:rPr>
          <w:rFonts w:ascii="Times New Roman" w:hAnsi="Times New Roman" w:cs="Times New Roman"/>
          <w:sz w:val="22"/>
          <w:szCs w:val="22"/>
        </w:rPr>
        <w:t>Las contribuciones incluidas en este volumen reflejan la pluralidad de enfoques desde los cuales la música y las artes pueden integrarse en los procesos educativos. Algunos trabajos se centran en la formación del profesorado y en la percepción de los futuros docentes ante los desafíos de la educación inclusiva, destacando el papel que la música puede desempeñar como recurso pedagógico para promover entornos de aprendizaje más equitativos. Estas líneas de investigación coinciden con trabajos que abordan la educación musical inclusiva desde la didáctica contemporánea, señalando la importancia de diseñar experiencias que respeten las diferencias individuales y culturales, y que permitan a cada estudiante participar activamente en procesos de aprendizaje significativo.</w:t>
      </w:r>
    </w:p>
    <w:p w14:paraId="17EEEF1C" w14:textId="3019A001" w:rsidR="00D45FCA" w:rsidRPr="00CC12AA" w:rsidRDefault="00CC12AA" w:rsidP="00915D7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D45FCA" w:rsidRPr="00CC12AA">
        <w:rPr>
          <w:rFonts w:ascii="Times New Roman" w:hAnsi="Times New Roman" w:cs="Times New Roman"/>
          <w:sz w:val="22"/>
          <w:szCs w:val="22"/>
        </w:rPr>
        <w:t>La música, como práctica educativa, también demanda enfoques metodológicos flexibles que reconozcan la diversidad de ritmos, intereses y estilos de aprendizaje presentes en el aula</w:t>
      </w:r>
      <w:r w:rsidR="00FD781D" w:rsidRPr="00CC12AA">
        <w:rPr>
          <w:rFonts w:ascii="Times New Roman" w:hAnsi="Times New Roman" w:cs="Times New Roman"/>
          <w:sz w:val="22"/>
          <w:szCs w:val="22"/>
        </w:rPr>
        <w:t xml:space="preserve"> (Díaz-Santamaría &amp; Moliner-García, 2020)</w:t>
      </w:r>
      <w:r w:rsidR="00D45FCA" w:rsidRPr="00CC12AA">
        <w:rPr>
          <w:rFonts w:ascii="Times New Roman" w:hAnsi="Times New Roman" w:cs="Times New Roman"/>
          <w:sz w:val="22"/>
          <w:szCs w:val="22"/>
        </w:rPr>
        <w:t>. En este sentido, estrategias como la instrucción diferenciada en educación musical han recibido atención creciente en la literatura especializada. Tal enfoque propone adaptar contenidos, procesos y productos de aprendizaje para responder mejor a las necesidades variadas del alumnado, fomentando un clima de aula que reconozca y celebre las diferencias individuales como un recurso positivo para el aprendizaje</w:t>
      </w:r>
      <w:r w:rsidR="00FD781D" w:rsidRPr="00CC12AA">
        <w:rPr>
          <w:rFonts w:ascii="Times New Roman" w:hAnsi="Times New Roman" w:cs="Times New Roman"/>
          <w:sz w:val="22"/>
          <w:szCs w:val="22"/>
        </w:rPr>
        <w:t xml:space="preserve"> (</w:t>
      </w:r>
      <w:proofErr w:type="spellStart"/>
      <w:r w:rsidR="00FD781D" w:rsidRPr="00CC12AA">
        <w:rPr>
          <w:rFonts w:ascii="Times New Roman" w:hAnsi="Times New Roman" w:cs="Times New Roman"/>
          <w:sz w:val="22"/>
          <w:szCs w:val="22"/>
        </w:rPr>
        <w:t>Economidou-Stavrou</w:t>
      </w:r>
      <w:proofErr w:type="spellEnd"/>
      <w:r w:rsidR="00FD781D" w:rsidRPr="00CC12AA">
        <w:rPr>
          <w:rFonts w:ascii="Times New Roman" w:hAnsi="Times New Roman" w:cs="Times New Roman"/>
          <w:sz w:val="22"/>
          <w:szCs w:val="22"/>
        </w:rPr>
        <w:t>, 2024).</w:t>
      </w:r>
    </w:p>
    <w:p w14:paraId="4457BF64" w14:textId="621C121D" w:rsidR="00D45FCA" w:rsidRPr="00CC12AA" w:rsidRDefault="00CC12AA" w:rsidP="00915D7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D45FCA" w:rsidRPr="00CC12AA">
        <w:rPr>
          <w:rFonts w:ascii="Times New Roman" w:hAnsi="Times New Roman" w:cs="Times New Roman"/>
          <w:sz w:val="22"/>
          <w:szCs w:val="22"/>
        </w:rPr>
        <w:t xml:space="preserve">Investigaciones recientes también han abordado cómo propuestas pedagógicas musicales, inspiradas en enfoques </w:t>
      </w:r>
      <w:r w:rsidR="00E65082" w:rsidRPr="00CC12AA">
        <w:rPr>
          <w:rFonts w:ascii="Times New Roman" w:hAnsi="Times New Roman" w:cs="Times New Roman"/>
          <w:sz w:val="22"/>
          <w:szCs w:val="22"/>
        </w:rPr>
        <w:t>de los pedagogos</w:t>
      </w:r>
      <w:r w:rsidR="00B215E7" w:rsidRPr="00CC12AA">
        <w:rPr>
          <w:rFonts w:ascii="Times New Roman" w:hAnsi="Times New Roman" w:cs="Times New Roman"/>
          <w:sz w:val="22"/>
          <w:szCs w:val="22"/>
        </w:rPr>
        <w:t xml:space="preserve"> musicales</w:t>
      </w:r>
      <w:r w:rsidR="00E65082" w:rsidRPr="00CC12AA">
        <w:rPr>
          <w:rFonts w:ascii="Times New Roman" w:hAnsi="Times New Roman" w:cs="Times New Roman"/>
          <w:sz w:val="22"/>
          <w:szCs w:val="22"/>
        </w:rPr>
        <w:t xml:space="preserve"> del siglo XX</w:t>
      </w:r>
      <w:r w:rsidR="00D45FCA" w:rsidRPr="00CC12AA">
        <w:rPr>
          <w:rFonts w:ascii="Times New Roman" w:hAnsi="Times New Roman" w:cs="Times New Roman"/>
          <w:sz w:val="22"/>
          <w:szCs w:val="22"/>
        </w:rPr>
        <w:t>, pueden promover la inclusión en contextos culturales y sociales diversos, favoreciendo la coexistencia de estudiantes con diferentes procedencias en experiencias musicales compartidas, lo que se traduce en un desarrollo más profundo de la cooperación, la confianza y el sentido de pertenencia</w:t>
      </w:r>
      <w:r w:rsidR="00B0135A" w:rsidRPr="00CC12AA">
        <w:rPr>
          <w:rFonts w:ascii="Times New Roman" w:hAnsi="Times New Roman" w:cs="Times New Roman"/>
          <w:sz w:val="22"/>
          <w:szCs w:val="22"/>
        </w:rPr>
        <w:t xml:space="preserve"> (Cabero-Izquierdo </w:t>
      </w:r>
      <w:r w:rsidR="0031770E" w:rsidRPr="00CC12AA">
        <w:rPr>
          <w:rFonts w:ascii="Times New Roman" w:hAnsi="Times New Roman" w:cs="Times New Roman"/>
          <w:sz w:val="22"/>
          <w:szCs w:val="22"/>
        </w:rPr>
        <w:t>&amp;</w:t>
      </w:r>
      <w:r w:rsidR="00B0135A" w:rsidRPr="00CC12AA">
        <w:rPr>
          <w:rFonts w:ascii="Times New Roman" w:hAnsi="Times New Roman" w:cs="Times New Roman"/>
          <w:sz w:val="22"/>
          <w:szCs w:val="22"/>
        </w:rPr>
        <w:t xml:space="preserve"> Peñalba-</w:t>
      </w:r>
      <w:proofErr w:type="spellStart"/>
      <w:r w:rsidR="00B0135A" w:rsidRPr="00CC12AA">
        <w:rPr>
          <w:rFonts w:ascii="Times New Roman" w:hAnsi="Times New Roman" w:cs="Times New Roman"/>
          <w:sz w:val="22"/>
          <w:szCs w:val="22"/>
        </w:rPr>
        <w:t>Acetores</w:t>
      </w:r>
      <w:proofErr w:type="spellEnd"/>
      <w:r w:rsidR="00B0135A" w:rsidRPr="00CC12AA">
        <w:rPr>
          <w:rFonts w:ascii="Times New Roman" w:hAnsi="Times New Roman" w:cs="Times New Roman"/>
          <w:sz w:val="22"/>
          <w:szCs w:val="22"/>
        </w:rPr>
        <w:t>, 2023)</w:t>
      </w:r>
      <w:r w:rsidR="00D45FCA" w:rsidRPr="00CC12AA">
        <w:rPr>
          <w:rFonts w:ascii="Times New Roman" w:hAnsi="Times New Roman" w:cs="Times New Roman"/>
          <w:sz w:val="22"/>
          <w:szCs w:val="22"/>
        </w:rPr>
        <w:t>.</w:t>
      </w:r>
    </w:p>
    <w:p w14:paraId="75563E56" w14:textId="69EFD4E0" w:rsidR="00D45FCA" w:rsidRPr="00CC12AA" w:rsidRDefault="00CC12AA" w:rsidP="00915D7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D45FCA" w:rsidRPr="00CC12AA">
        <w:rPr>
          <w:rFonts w:ascii="Times New Roman" w:hAnsi="Times New Roman" w:cs="Times New Roman"/>
          <w:sz w:val="22"/>
          <w:szCs w:val="22"/>
        </w:rPr>
        <w:t>Otros estudios abordan la dimensión curricular de la educación musical, explorando perspectivas innovadoras para mejorar la enseñanza en las etapas de educación infantil y primaria. La educación artística se configura como un espacio de aprendizaje interdisciplinar que favorece el desarrollo integral del alumnado y la construcción de experiencias educativas significativas. Desde el ámbito de la investigación educativa, diversos autores han destacado la importancia de integrar las artes en los procesos de enseñanza-aprendizaje como vía para promover metodologías activas, inclusivas y orientadas al desarrollo competencial (Alegre de la Rosa, 2014).</w:t>
      </w:r>
    </w:p>
    <w:p w14:paraId="183BF1AE" w14:textId="4DE87F02" w:rsidR="006D5F30" w:rsidRPr="00CC12AA" w:rsidRDefault="00CC12AA" w:rsidP="00915D7A">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6D5F30" w:rsidRPr="00CC12AA">
        <w:rPr>
          <w:rFonts w:ascii="Times New Roman" w:hAnsi="Times New Roman" w:cs="Times New Roman"/>
          <w:sz w:val="22"/>
          <w:szCs w:val="22"/>
        </w:rPr>
        <w:t xml:space="preserve">Aunque la literatura reciente coincide en señalar el potencial de la educación musical para promover la inclusión, el bienestar socioemocional y la </w:t>
      </w:r>
      <w:proofErr w:type="gramStart"/>
      <w:r w:rsidR="006D5F30" w:rsidRPr="00CC12AA">
        <w:rPr>
          <w:rFonts w:ascii="Times New Roman" w:hAnsi="Times New Roman" w:cs="Times New Roman"/>
          <w:sz w:val="22"/>
          <w:szCs w:val="22"/>
        </w:rPr>
        <w:t>participación activa</w:t>
      </w:r>
      <w:proofErr w:type="gramEnd"/>
      <w:r w:rsidR="006D5F30" w:rsidRPr="00CC12AA">
        <w:rPr>
          <w:rFonts w:ascii="Times New Roman" w:hAnsi="Times New Roman" w:cs="Times New Roman"/>
          <w:sz w:val="22"/>
          <w:szCs w:val="22"/>
        </w:rPr>
        <w:t xml:space="preserve"> del alumnado (Hallam, 2010; </w:t>
      </w:r>
      <w:proofErr w:type="spellStart"/>
      <w:r w:rsidR="006D5F30" w:rsidRPr="00CC12AA">
        <w:rPr>
          <w:rFonts w:ascii="Times New Roman" w:hAnsi="Times New Roman" w:cs="Times New Roman"/>
          <w:sz w:val="22"/>
          <w:szCs w:val="22"/>
        </w:rPr>
        <w:t>JuanMorera</w:t>
      </w:r>
      <w:proofErr w:type="spellEnd"/>
      <w:r w:rsidR="006D5F30" w:rsidRPr="00CC12AA">
        <w:rPr>
          <w:rFonts w:ascii="Times New Roman" w:hAnsi="Times New Roman" w:cs="Times New Roman"/>
          <w:sz w:val="22"/>
          <w:szCs w:val="22"/>
        </w:rPr>
        <w:t xml:space="preserve"> et al., 2023; Van </w:t>
      </w:r>
      <w:proofErr w:type="spellStart"/>
      <w:r w:rsidR="006D5F30" w:rsidRPr="00CC12AA">
        <w:rPr>
          <w:rFonts w:ascii="Times New Roman" w:hAnsi="Times New Roman" w:cs="Times New Roman"/>
          <w:sz w:val="22"/>
          <w:szCs w:val="22"/>
        </w:rPr>
        <w:t>der</w:t>
      </w:r>
      <w:proofErr w:type="spellEnd"/>
      <w:r w:rsidR="006D5F30" w:rsidRPr="00CC12AA">
        <w:rPr>
          <w:rFonts w:ascii="Times New Roman" w:hAnsi="Times New Roman" w:cs="Times New Roman"/>
          <w:sz w:val="22"/>
          <w:szCs w:val="22"/>
        </w:rPr>
        <w:t xml:space="preserve"> </w:t>
      </w:r>
      <w:proofErr w:type="spellStart"/>
      <w:r w:rsidR="006D5F30" w:rsidRPr="00CC12AA">
        <w:rPr>
          <w:rFonts w:ascii="Times New Roman" w:hAnsi="Times New Roman" w:cs="Times New Roman"/>
          <w:sz w:val="22"/>
          <w:szCs w:val="22"/>
        </w:rPr>
        <w:t>Merwe</w:t>
      </w:r>
      <w:proofErr w:type="spellEnd"/>
      <w:r w:rsidR="006D5F30" w:rsidRPr="00CC12AA">
        <w:rPr>
          <w:rFonts w:ascii="Times New Roman" w:hAnsi="Times New Roman" w:cs="Times New Roman"/>
          <w:sz w:val="22"/>
          <w:szCs w:val="22"/>
        </w:rPr>
        <w:t xml:space="preserve"> &amp; Burns, 2023), los estudios revisados también evidencian algunas limitaciones en el desarrollo de este campo. Por un lado, diversas investigaciones </w:t>
      </w:r>
      <w:proofErr w:type="gramStart"/>
      <w:r w:rsidR="006D5F30" w:rsidRPr="00CC12AA">
        <w:rPr>
          <w:rFonts w:ascii="Times New Roman" w:hAnsi="Times New Roman" w:cs="Times New Roman"/>
          <w:sz w:val="22"/>
          <w:szCs w:val="22"/>
        </w:rPr>
        <w:t>se centran principalmente en</w:t>
      </w:r>
      <w:proofErr w:type="gramEnd"/>
      <w:r w:rsidR="006D5F30" w:rsidRPr="00CC12AA">
        <w:rPr>
          <w:rFonts w:ascii="Times New Roman" w:hAnsi="Times New Roman" w:cs="Times New Roman"/>
          <w:sz w:val="22"/>
          <w:szCs w:val="22"/>
        </w:rPr>
        <w:t xml:space="preserve"> la descripción de experiencias educativas concretas o programas específicos de intervención (Bravo-Yebra et al., 2025; Cabero-Izquierdo &amp; Peñalba-</w:t>
      </w:r>
      <w:proofErr w:type="spellStart"/>
      <w:r w:rsidR="006D5F30" w:rsidRPr="00CC12AA">
        <w:rPr>
          <w:rFonts w:ascii="Times New Roman" w:hAnsi="Times New Roman" w:cs="Times New Roman"/>
          <w:sz w:val="22"/>
          <w:szCs w:val="22"/>
        </w:rPr>
        <w:t>Acitores</w:t>
      </w:r>
      <w:proofErr w:type="spellEnd"/>
      <w:r w:rsidR="006D5F30" w:rsidRPr="00CC12AA">
        <w:rPr>
          <w:rFonts w:ascii="Times New Roman" w:hAnsi="Times New Roman" w:cs="Times New Roman"/>
          <w:sz w:val="22"/>
          <w:szCs w:val="22"/>
        </w:rPr>
        <w:t xml:space="preserve">, 2023), lo que dificulta la construcción de marcos pedagógicos más amplios que orienten la integración sistemática de las artes en los sistemas educativos. Por otro lado, aunque existen propuestas metodológicas orientadas a atender la diversidad en el aula de música, como la instrucción diferenciada o los enfoques inclusivos de enseñanza (Díaz-Santamaría &amp; Moliner-García, 2020; </w:t>
      </w:r>
      <w:proofErr w:type="spellStart"/>
      <w:r w:rsidR="006D5F30" w:rsidRPr="00CC12AA">
        <w:rPr>
          <w:rFonts w:ascii="Times New Roman" w:hAnsi="Times New Roman" w:cs="Times New Roman"/>
          <w:sz w:val="22"/>
          <w:szCs w:val="22"/>
        </w:rPr>
        <w:t>Economidou-Stavrou</w:t>
      </w:r>
      <w:proofErr w:type="spellEnd"/>
      <w:r w:rsidR="006D5F30" w:rsidRPr="00CC12AA">
        <w:rPr>
          <w:rFonts w:ascii="Times New Roman" w:hAnsi="Times New Roman" w:cs="Times New Roman"/>
          <w:sz w:val="22"/>
          <w:szCs w:val="22"/>
        </w:rPr>
        <w:t>, 2024), todavía se observa una distancia entre el reconocimiento teórico del valor de la educación artística y su implementación efectiva en los contextos educativos. Estas tensiones ponen de manifiesto la necesidad de seguir profundizando en investigaciones que analicen de forma crítica el papel de las prácticas musicales y artísticas en la construcción de entornos educativos más inclusivos y socialmente comprometidos.</w:t>
      </w:r>
    </w:p>
    <w:p w14:paraId="788A5271" w14:textId="6B5D5F38" w:rsidR="00407200" w:rsidRPr="00CC12AA" w:rsidRDefault="00CC12AA" w:rsidP="00407200">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lastRenderedPageBreak/>
        <w:tab/>
      </w:r>
      <w:r w:rsidR="00407200" w:rsidRPr="00CC12AA">
        <w:rPr>
          <w:rFonts w:ascii="Times New Roman" w:hAnsi="Times New Roman" w:cs="Times New Roman"/>
          <w:sz w:val="22"/>
          <w:szCs w:val="22"/>
        </w:rPr>
        <w:t>Las contribuciones que integran este número monográfico pueden organizarse en diferentes líneas temáticas complementarias, lo que permite identificar las principales perspectivas desde las que se aborda la relación entre educación musical, inclusión y transformación educativa.</w:t>
      </w:r>
    </w:p>
    <w:p w14:paraId="53D78F80" w14:textId="3B133E79" w:rsidR="00407200" w:rsidRPr="00CC12AA" w:rsidRDefault="00407200" w:rsidP="00407200">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En primer lugar, un conjunto de trabajos se centra en el papel de la educación musical y artística como herramienta para la inclusión educativa y social, analizando cómo la práctica musical puede favorecer procesos de participación, cohesión social y desarrollo integral del alumnado. En esta línea se sitúan investigaciones que exploran el potencial de la música para generar espacios educativos más equitativos y culturalmente diversos, en consonancia con los planteamientos que destacan el valor de las artes en la construcción de entornos educativos inclusivos (Hallam, 2010; UNESCO, 2022; Díaz-Santamaría &amp; Moliner-García, 2020).</w:t>
      </w:r>
    </w:p>
    <w:p w14:paraId="61770200" w14:textId="781ACBF8" w:rsidR="00407200" w:rsidRPr="00CC12AA" w:rsidRDefault="00CC12AA" w:rsidP="00407200">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407200" w:rsidRPr="00CC12AA">
        <w:rPr>
          <w:rFonts w:ascii="Times New Roman" w:hAnsi="Times New Roman" w:cs="Times New Roman"/>
          <w:sz w:val="22"/>
          <w:szCs w:val="22"/>
        </w:rPr>
        <w:t>Un segundo bloque reúne aportaciones centradas en el análisis de enfoques pedagógicos y metodológicos en educación musical, en las que se examinan distintas estrategias didácticas, recursos y propuestas educativas orientadas a atender la diversidad en el aula. Estos trabajos ponen de relieve la importancia de metodologías activas y participativas que favorezcan experiencias de aprendizaje significativas y que contribuyan a desarrollar competencias musicales, sociales y emocionales en el alumnado (Cabero-Izquierdo &amp; Peñalba-</w:t>
      </w:r>
      <w:proofErr w:type="spellStart"/>
      <w:r w:rsidR="00407200" w:rsidRPr="00CC12AA">
        <w:rPr>
          <w:rFonts w:ascii="Times New Roman" w:hAnsi="Times New Roman" w:cs="Times New Roman"/>
          <w:sz w:val="22"/>
          <w:szCs w:val="22"/>
        </w:rPr>
        <w:t>Acitores</w:t>
      </w:r>
      <w:proofErr w:type="spellEnd"/>
      <w:r w:rsidR="00407200" w:rsidRPr="00CC12AA">
        <w:rPr>
          <w:rFonts w:ascii="Times New Roman" w:hAnsi="Times New Roman" w:cs="Times New Roman"/>
          <w:sz w:val="22"/>
          <w:szCs w:val="22"/>
        </w:rPr>
        <w:t xml:space="preserve">, 2023; </w:t>
      </w:r>
      <w:proofErr w:type="spellStart"/>
      <w:r w:rsidR="00407200" w:rsidRPr="00CC12AA">
        <w:rPr>
          <w:rFonts w:ascii="Times New Roman" w:hAnsi="Times New Roman" w:cs="Times New Roman"/>
          <w:sz w:val="22"/>
          <w:szCs w:val="22"/>
        </w:rPr>
        <w:t>Economidou-Stavrou</w:t>
      </w:r>
      <w:proofErr w:type="spellEnd"/>
      <w:r w:rsidR="00407200" w:rsidRPr="00CC12AA">
        <w:rPr>
          <w:rFonts w:ascii="Times New Roman" w:hAnsi="Times New Roman" w:cs="Times New Roman"/>
          <w:sz w:val="22"/>
          <w:szCs w:val="22"/>
        </w:rPr>
        <w:t>, 2024).</w:t>
      </w:r>
    </w:p>
    <w:p w14:paraId="389F2947" w14:textId="370FE733" w:rsidR="00407200" w:rsidRPr="00CC12AA" w:rsidRDefault="00CC12AA" w:rsidP="00407200">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407200" w:rsidRPr="00CC12AA">
        <w:rPr>
          <w:rFonts w:ascii="Times New Roman" w:hAnsi="Times New Roman" w:cs="Times New Roman"/>
          <w:sz w:val="22"/>
          <w:szCs w:val="22"/>
        </w:rPr>
        <w:t xml:space="preserve">Finalmente, un tercer grupo de contribuciones aborda la relación entre educación artística, innovación educativa y desarrollo competencial, destacando cómo la integración de propuestas musicales y artísticas puede enriquecer los procesos de enseñanza y aprendizaje en contextos educativos contemporáneos. En este sentido, diferentes investigaciones subrayan la capacidad de las prácticas artísticas para promover el pensamiento crítico, la creatividad y el desarrollo socioemocional, así como su contribución a la formación integral del alumnado (Van </w:t>
      </w:r>
      <w:proofErr w:type="spellStart"/>
      <w:r w:rsidR="00407200" w:rsidRPr="00CC12AA">
        <w:rPr>
          <w:rFonts w:ascii="Times New Roman" w:hAnsi="Times New Roman" w:cs="Times New Roman"/>
          <w:sz w:val="22"/>
          <w:szCs w:val="22"/>
        </w:rPr>
        <w:t>der</w:t>
      </w:r>
      <w:proofErr w:type="spellEnd"/>
      <w:r w:rsidR="00407200" w:rsidRPr="00CC12AA">
        <w:rPr>
          <w:rFonts w:ascii="Times New Roman" w:hAnsi="Times New Roman" w:cs="Times New Roman"/>
          <w:sz w:val="22"/>
          <w:szCs w:val="22"/>
        </w:rPr>
        <w:t xml:space="preserve"> </w:t>
      </w:r>
      <w:proofErr w:type="spellStart"/>
      <w:r w:rsidR="00407200" w:rsidRPr="00CC12AA">
        <w:rPr>
          <w:rFonts w:ascii="Times New Roman" w:hAnsi="Times New Roman" w:cs="Times New Roman"/>
          <w:sz w:val="22"/>
          <w:szCs w:val="22"/>
        </w:rPr>
        <w:t>Merwe</w:t>
      </w:r>
      <w:proofErr w:type="spellEnd"/>
      <w:r w:rsidR="00407200" w:rsidRPr="00CC12AA">
        <w:rPr>
          <w:rFonts w:ascii="Times New Roman" w:hAnsi="Times New Roman" w:cs="Times New Roman"/>
          <w:sz w:val="22"/>
          <w:szCs w:val="22"/>
        </w:rPr>
        <w:t xml:space="preserve"> &amp; Burns, 2023; </w:t>
      </w:r>
      <w:proofErr w:type="spellStart"/>
      <w:r w:rsidR="00407200" w:rsidRPr="00CC12AA">
        <w:rPr>
          <w:rFonts w:ascii="Times New Roman" w:hAnsi="Times New Roman" w:cs="Times New Roman"/>
          <w:sz w:val="22"/>
          <w:szCs w:val="22"/>
        </w:rPr>
        <w:t>JuanMorera</w:t>
      </w:r>
      <w:proofErr w:type="spellEnd"/>
      <w:r w:rsidR="00407200" w:rsidRPr="00CC12AA">
        <w:rPr>
          <w:rFonts w:ascii="Times New Roman" w:hAnsi="Times New Roman" w:cs="Times New Roman"/>
          <w:sz w:val="22"/>
          <w:szCs w:val="22"/>
        </w:rPr>
        <w:t xml:space="preserve"> et al., 2023; Bravo-Yebra et al., 2025).</w:t>
      </w:r>
    </w:p>
    <w:p w14:paraId="3C6E6AE9" w14:textId="78255DF9" w:rsidR="003F0F9D" w:rsidRPr="00CC12AA" w:rsidRDefault="00CC12AA" w:rsidP="00407200">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407200" w:rsidRPr="00CC12AA">
        <w:rPr>
          <w:rFonts w:ascii="Times New Roman" w:hAnsi="Times New Roman" w:cs="Times New Roman"/>
          <w:sz w:val="22"/>
          <w:szCs w:val="22"/>
        </w:rPr>
        <w:t>En conjunto, los trabajos reunidos en este monográfico ofrecen una visión plural y complementaria sobre el papel de la música y las artes en la educación actual, evidenciando su potencial para generar experiencias educativas inclusivas, participativas y socialmente comprometidas, en línea con los principios de una educación orientada al desarrollo integral de las personas (Alegre de la Rosa, 2014; Gisbert-</w:t>
      </w:r>
      <w:proofErr w:type="spellStart"/>
      <w:r w:rsidR="00407200" w:rsidRPr="00CC12AA">
        <w:rPr>
          <w:rFonts w:ascii="Times New Roman" w:hAnsi="Times New Roman" w:cs="Times New Roman"/>
          <w:sz w:val="22"/>
          <w:szCs w:val="22"/>
        </w:rPr>
        <w:t>Caudeli</w:t>
      </w:r>
      <w:proofErr w:type="spellEnd"/>
      <w:r w:rsidR="00407200" w:rsidRPr="00CC12AA">
        <w:rPr>
          <w:rFonts w:ascii="Times New Roman" w:hAnsi="Times New Roman" w:cs="Times New Roman"/>
          <w:sz w:val="22"/>
          <w:szCs w:val="22"/>
        </w:rPr>
        <w:t xml:space="preserve"> et al., 2024).</w:t>
      </w:r>
    </w:p>
    <w:p w14:paraId="5DAAEE82" w14:textId="4C93207A" w:rsidR="0031770E" w:rsidRPr="00CC12AA" w:rsidRDefault="00CC12AA" w:rsidP="00407200">
      <w:pPr>
        <w:tabs>
          <w:tab w:val="left" w:pos="284"/>
        </w:tabs>
        <w:spacing w:line="240" w:lineRule="auto"/>
        <w:contextualSpacing/>
        <w:jc w:val="both"/>
        <w:rPr>
          <w:rFonts w:ascii="Times New Roman" w:hAnsi="Times New Roman" w:cs="Times New Roman"/>
          <w:sz w:val="22"/>
          <w:szCs w:val="22"/>
        </w:rPr>
      </w:pPr>
      <w:r w:rsidRPr="00CC12AA">
        <w:rPr>
          <w:rFonts w:ascii="Times New Roman" w:hAnsi="Times New Roman" w:cs="Times New Roman"/>
          <w:sz w:val="22"/>
          <w:szCs w:val="22"/>
        </w:rPr>
        <w:tab/>
      </w:r>
      <w:r w:rsidR="0031770E" w:rsidRPr="00CC12AA">
        <w:rPr>
          <w:rFonts w:ascii="Times New Roman" w:hAnsi="Times New Roman" w:cs="Times New Roman"/>
          <w:sz w:val="22"/>
          <w:szCs w:val="22"/>
        </w:rPr>
        <w:t>Este número monográfico pone de manifiesto el potencial de la educación musical y artística como espacios privilegiados para promover prácticas educativas inclusivas, participativas y socialmente comprometidas. Los trabajos presentados evidencian la capacidad de la música para favorecer el desarrollo integral del alumnado, fortalecer la cohesión social y generar experiencias educativas significativas en contextos de diversidad. Asimismo, las investigaciones incluidas aportan perspectivas pedagógicas y metodológicas que contribuyen a ampliar el conocimiento sobre el papel de las artes en la educación contemporánea. En este sentido, el monográfico no solo ofrece nuevas evidencias y reflexiones para el campo de la educación musical, sino que también plantea líneas de investigación futuras orientadas a profundizar en la relación entre prácticas artísticas, inclusión educativa e innovación pedagógica.</w:t>
      </w:r>
    </w:p>
    <w:p w14:paraId="2CED4DA1" w14:textId="77777777" w:rsidR="00407200" w:rsidRPr="00CC12AA" w:rsidRDefault="00407200" w:rsidP="00407200">
      <w:pPr>
        <w:tabs>
          <w:tab w:val="left" w:pos="284"/>
        </w:tabs>
        <w:spacing w:line="240" w:lineRule="auto"/>
        <w:contextualSpacing/>
        <w:jc w:val="both"/>
        <w:rPr>
          <w:rFonts w:ascii="Times New Roman" w:hAnsi="Times New Roman" w:cs="Times New Roman"/>
          <w:sz w:val="22"/>
          <w:szCs w:val="22"/>
        </w:rPr>
      </w:pPr>
    </w:p>
    <w:p w14:paraId="73082F54" w14:textId="77777777" w:rsidR="003F0F9D" w:rsidRPr="00CC12AA" w:rsidRDefault="003F0F9D" w:rsidP="00915D7A">
      <w:pPr>
        <w:spacing w:line="240" w:lineRule="auto"/>
        <w:contextualSpacing/>
        <w:rPr>
          <w:rFonts w:ascii="Times New Roman" w:hAnsi="Times New Roman" w:cs="Times New Roman"/>
          <w:b/>
          <w:bCs/>
          <w:sz w:val="22"/>
          <w:szCs w:val="22"/>
        </w:rPr>
      </w:pPr>
      <w:r w:rsidRPr="00CC12AA">
        <w:rPr>
          <w:rFonts w:ascii="Times New Roman" w:hAnsi="Times New Roman" w:cs="Times New Roman"/>
          <w:b/>
          <w:bCs/>
          <w:sz w:val="22"/>
          <w:szCs w:val="22"/>
        </w:rPr>
        <w:t>Referencias</w:t>
      </w:r>
    </w:p>
    <w:p w14:paraId="1C0C9CAF" w14:textId="77777777" w:rsidR="003F0F9D" w:rsidRPr="00CC12AA" w:rsidRDefault="003F0F9D" w:rsidP="005F59F7">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 xml:space="preserve">Alegre de la Rosa, O. (2014). </w:t>
      </w:r>
      <w:r w:rsidRPr="00CC12AA">
        <w:rPr>
          <w:rFonts w:ascii="Times New Roman" w:hAnsi="Times New Roman" w:cs="Times New Roman"/>
          <w:i/>
          <w:iCs/>
          <w:sz w:val="22"/>
          <w:szCs w:val="22"/>
        </w:rPr>
        <w:t>Diversidad humana y educación</w:t>
      </w:r>
      <w:r w:rsidRPr="00CC12AA">
        <w:rPr>
          <w:rFonts w:ascii="Times New Roman" w:hAnsi="Times New Roman" w:cs="Times New Roman"/>
          <w:sz w:val="22"/>
          <w:szCs w:val="22"/>
        </w:rPr>
        <w:t>. Síntesis.</w:t>
      </w:r>
    </w:p>
    <w:p w14:paraId="3EBC2FA6" w14:textId="77777777" w:rsidR="005F59F7" w:rsidRPr="00CC12AA" w:rsidRDefault="005621C0" w:rsidP="005F59F7">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Anguita Acero, J. M., Navarro Martínez, Óscar, &amp; Vieira Barros, D. M. (2025). Escuela Inclusiva: un desafío para la educación a distancia. </w:t>
      </w:r>
      <w:r w:rsidRPr="00CC12AA">
        <w:rPr>
          <w:rFonts w:ascii="Times New Roman" w:hAnsi="Times New Roman" w:cs="Times New Roman"/>
          <w:i/>
          <w:iCs/>
          <w:sz w:val="22"/>
          <w:szCs w:val="22"/>
        </w:rPr>
        <w:t>Revista De Estilos De Aprendizaje</w:t>
      </w:r>
      <w:r w:rsidRPr="00CC12AA">
        <w:rPr>
          <w:rFonts w:ascii="Times New Roman" w:hAnsi="Times New Roman" w:cs="Times New Roman"/>
          <w:sz w:val="22"/>
          <w:szCs w:val="22"/>
        </w:rPr>
        <w:t>, </w:t>
      </w:r>
      <w:r w:rsidRPr="00CC12AA">
        <w:rPr>
          <w:rFonts w:ascii="Times New Roman" w:hAnsi="Times New Roman" w:cs="Times New Roman"/>
          <w:i/>
          <w:iCs/>
          <w:sz w:val="22"/>
          <w:szCs w:val="22"/>
        </w:rPr>
        <w:t>18</w:t>
      </w:r>
      <w:r w:rsidRPr="00CC12AA">
        <w:rPr>
          <w:rFonts w:ascii="Times New Roman" w:hAnsi="Times New Roman" w:cs="Times New Roman"/>
          <w:sz w:val="22"/>
          <w:szCs w:val="22"/>
        </w:rPr>
        <w:t xml:space="preserve">(35), 139–142. </w:t>
      </w:r>
      <w:hyperlink r:id="rId12" w:history="1">
        <w:r w:rsidR="00F170D4" w:rsidRPr="00CC12AA">
          <w:rPr>
            <w:rStyle w:val="Hipervnculo"/>
            <w:rFonts w:ascii="Times New Roman" w:hAnsi="Times New Roman" w:cs="Times New Roman"/>
            <w:sz w:val="22"/>
            <w:szCs w:val="22"/>
          </w:rPr>
          <w:t>https://doi.org/10.55777/rea.v18i35.8037</w:t>
        </w:r>
      </w:hyperlink>
      <w:r w:rsidR="00F170D4" w:rsidRPr="00CC12AA">
        <w:rPr>
          <w:rFonts w:ascii="Times New Roman" w:hAnsi="Times New Roman" w:cs="Times New Roman"/>
          <w:sz w:val="22"/>
          <w:szCs w:val="22"/>
        </w:rPr>
        <w:t xml:space="preserve"> </w:t>
      </w:r>
    </w:p>
    <w:p w14:paraId="5195C00F" w14:textId="06EF20C7" w:rsidR="005F59F7" w:rsidRPr="00CC12AA" w:rsidRDefault="005F59F7" w:rsidP="005F59F7">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 xml:space="preserve">Barranco Barroso, R., Morales, S., &amp; Marí </w:t>
      </w:r>
      <w:proofErr w:type="spellStart"/>
      <w:r w:rsidRPr="00CC12AA">
        <w:rPr>
          <w:rFonts w:ascii="Times New Roman" w:hAnsi="Times New Roman" w:cs="Times New Roman"/>
          <w:sz w:val="22"/>
          <w:szCs w:val="22"/>
        </w:rPr>
        <w:t>Ytarte</w:t>
      </w:r>
      <w:proofErr w:type="spellEnd"/>
      <w:r w:rsidRPr="00CC12AA">
        <w:rPr>
          <w:rFonts w:ascii="Times New Roman" w:hAnsi="Times New Roman" w:cs="Times New Roman"/>
          <w:sz w:val="22"/>
          <w:szCs w:val="22"/>
        </w:rPr>
        <w:t>, R. M. (2022). La participación como herramienta educativa para la inclusión, la convivencia y el éxito educativo. </w:t>
      </w:r>
      <w:r w:rsidRPr="00CC12AA">
        <w:rPr>
          <w:rFonts w:ascii="Times New Roman" w:hAnsi="Times New Roman" w:cs="Times New Roman"/>
          <w:i/>
          <w:iCs/>
          <w:sz w:val="22"/>
          <w:szCs w:val="22"/>
        </w:rPr>
        <w:t>Revista De Estilos De Aprendizaje</w:t>
      </w:r>
      <w:r w:rsidRPr="00CC12AA">
        <w:rPr>
          <w:rFonts w:ascii="Times New Roman" w:hAnsi="Times New Roman" w:cs="Times New Roman"/>
          <w:sz w:val="22"/>
          <w:szCs w:val="22"/>
        </w:rPr>
        <w:t>, </w:t>
      </w:r>
      <w:r w:rsidRPr="00CC12AA">
        <w:rPr>
          <w:rFonts w:ascii="Times New Roman" w:hAnsi="Times New Roman" w:cs="Times New Roman"/>
          <w:i/>
          <w:iCs/>
          <w:sz w:val="22"/>
          <w:szCs w:val="22"/>
        </w:rPr>
        <w:t>15</w:t>
      </w:r>
      <w:r w:rsidRPr="00CC12AA">
        <w:rPr>
          <w:rFonts w:ascii="Times New Roman" w:hAnsi="Times New Roman" w:cs="Times New Roman"/>
          <w:sz w:val="22"/>
          <w:szCs w:val="22"/>
        </w:rPr>
        <w:t>(</w:t>
      </w:r>
      <w:proofErr w:type="spellStart"/>
      <w:r w:rsidRPr="00CC12AA">
        <w:rPr>
          <w:rFonts w:ascii="Times New Roman" w:hAnsi="Times New Roman" w:cs="Times New Roman"/>
          <w:sz w:val="22"/>
          <w:szCs w:val="22"/>
        </w:rPr>
        <w:t>EspecialII</w:t>
      </w:r>
      <w:proofErr w:type="spellEnd"/>
      <w:r w:rsidRPr="00CC12AA">
        <w:rPr>
          <w:rFonts w:ascii="Times New Roman" w:hAnsi="Times New Roman" w:cs="Times New Roman"/>
          <w:sz w:val="22"/>
          <w:szCs w:val="22"/>
        </w:rPr>
        <w:t xml:space="preserve">), 1–4.         </w:t>
      </w:r>
      <w:hyperlink r:id="rId13" w:history="1">
        <w:r w:rsidRPr="00CC12AA">
          <w:rPr>
            <w:rStyle w:val="Hipervnculo"/>
            <w:rFonts w:ascii="Times New Roman" w:hAnsi="Times New Roman" w:cs="Times New Roman"/>
            <w:sz w:val="22"/>
            <w:szCs w:val="22"/>
          </w:rPr>
          <w:t>https://doi.org/10.55777/rea.v15iEspecialII.4668</w:t>
        </w:r>
      </w:hyperlink>
      <w:r w:rsidRPr="00CC12AA">
        <w:rPr>
          <w:rFonts w:ascii="Times New Roman" w:hAnsi="Times New Roman" w:cs="Times New Roman"/>
          <w:sz w:val="22"/>
          <w:szCs w:val="22"/>
        </w:rPr>
        <w:t xml:space="preserve"> </w:t>
      </w:r>
    </w:p>
    <w:p w14:paraId="019A9AD2" w14:textId="3E40A8BA" w:rsidR="00593ABC" w:rsidRPr="00CC12AA" w:rsidRDefault="00135BD2" w:rsidP="005F59F7">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 xml:space="preserve">Bravo‑Yebra, V., Ortiz‑Marcos, J. M., &amp; Tomé‑Fernández, M. (2025). </w:t>
      </w:r>
      <w:r w:rsidRPr="00CC12AA">
        <w:rPr>
          <w:rFonts w:ascii="Times New Roman" w:hAnsi="Times New Roman" w:cs="Times New Roman"/>
          <w:sz w:val="22"/>
          <w:szCs w:val="22"/>
          <w:lang w:val="en-US"/>
        </w:rPr>
        <w:t xml:space="preserve">The influence of gender and institution on the construction of an intercultural and inclusive music education. </w:t>
      </w:r>
      <w:proofErr w:type="spellStart"/>
      <w:r w:rsidRPr="00CC12AA">
        <w:rPr>
          <w:rFonts w:ascii="Times New Roman" w:hAnsi="Times New Roman" w:cs="Times New Roman"/>
          <w:i/>
          <w:iCs/>
          <w:sz w:val="22"/>
          <w:szCs w:val="22"/>
        </w:rPr>
        <w:t>Education</w:t>
      </w:r>
      <w:proofErr w:type="spellEnd"/>
      <w:r w:rsidRPr="00CC12AA">
        <w:rPr>
          <w:rFonts w:ascii="Times New Roman" w:hAnsi="Times New Roman" w:cs="Times New Roman"/>
          <w:i/>
          <w:iCs/>
          <w:sz w:val="22"/>
          <w:szCs w:val="22"/>
        </w:rPr>
        <w:t xml:space="preserve"> </w:t>
      </w:r>
      <w:proofErr w:type="spellStart"/>
      <w:r w:rsidRPr="00CC12AA">
        <w:rPr>
          <w:rFonts w:ascii="Times New Roman" w:hAnsi="Times New Roman" w:cs="Times New Roman"/>
          <w:i/>
          <w:iCs/>
          <w:sz w:val="22"/>
          <w:szCs w:val="22"/>
        </w:rPr>
        <w:t>Sciences</w:t>
      </w:r>
      <w:proofErr w:type="spellEnd"/>
      <w:r w:rsidRPr="00CC12AA">
        <w:rPr>
          <w:rFonts w:ascii="Times New Roman" w:hAnsi="Times New Roman" w:cs="Times New Roman"/>
          <w:i/>
          <w:iCs/>
          <w:sz w:val="22"/>
          <w:szCs w:val="22"/>
        </w:rPr>
        <w:t>, 15</w:t>
      </w:r>
      <w:r w:rsidRPr="00CC12AA">
        <w:rPr>
          <w:rFonts w:ascii="Times New Roman" w:hAnsi="Times New Roman" w:cs="Times New Roman"/>
          <w:sz w:val="22"/>
          <w:szCs w:val="22"/>
        </w:rPr>
        <w:t xml:space="preserve">(9), 1224. </w:t>
      </w:r>
      <w:hyperlink r:id="rId14" w:history="1">
        <w:r w:rsidRPr="00CC12AA">
          <w:rPr>
            <w:rStyle w:val="Hipervnculo"/>
            <w:rFonts w:ascii="Times New Roman" w:hAnsi="Times New Roman" w:cs="Times New Roman"/>
            <w:sz w:val="22"/>
            <w:szCs w:val="22"/>
          </w:rPr>
          <w:t>https://doi.org/10.3390/educsci15091224</w:t>
        </w:r>
      </w:hyperlink>
      <w:r w:rsidRPr="00CC12AA">
        <w:rPr>
          <w:rFonts w:ascii="Times New Roman" w:hAnsi="Times New Roman" w:cs="Times New Roman"/>
          <w:sz w:val="22"/>
          <w:szCs w:val="22"/>
        </w:rPr>
        <w:t xml:space="preserve"> </w:t>
      </w:r>
    </w:p>
    <w:p w14:paraId="5723B52F" w14:textId="3FC1C628" w:rsidR="00B0135A" w:rsidRPr="00CC12AA" w:rsidRDefault="00B0135A" w:rsidP="005F59F7">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 xml:space="preserve">Cabero Izquierdo, M. Á., &amp; Peñalba </w:t>
      </w:r>
      <w:proofErr w:type="spellStart"/>
      <w:r w:rsidRPr="00CC12AA">
        <w:rPr>
          <w:rFonts w:ascii="Times New Roman" w:hAnsi="Times New Roman" w:cs="Times New Roman"/>
          <w:sz w:val="22"/>
          <w:szCs w:val="22"/>
        </w:rPr>
        <w:t>Acitores</w:t>
      </w:r>
      <w:proofErr w:type="spellEnd"/>
      <w:r w:rsidRPr="00CC12AA">
        <w:rPr>
          <w:rFonts w:ascii="Times New Roman" w:hAnsi="Times New Roman" w:cs="Times New Roman"/>
          <w:sz w:val="22"/>
          <w:szCs w:val="22"/>
        </w:rPr>
        <w:t xml:space="preserve">, A. (2023). In Crescendo: acciones educativas para un proyecto de música comunitaria con niños en riesgo de exclusión social. </w:t>
      </w:r>
      <w:r w:rsidRPr="00CC12AA">
        <w:rPr>
          <w:rFonts w:ascii="Times New Roman" w:hAnsi="Times New Roman" w:cs="Times New Roman"/>
          <w:i/>
          <w:iCs/>
          <w:sz w:val="22"/>
          <w:szCs w:val="22"/>
        </w:rPr>
        <w:t>Revista Electrónica Complutense de Investigación en Educación Musical – RECIEM, 20</w:t>
      </w:r>
      <w:r w:rsidRPr="00CC12AA">
        <w:rPr>
          <w:rFonts w:ascii="Times New Roman" w:hAnsi="Times New Roman" w:cs="Times New Roman"/>
          <w:sz w:val="22"/>
          <w:szCs w:val="22"/>
        </w:rPr>
        <w:t xml:space="preserve">, 101–127. </w:t>
      </w:r>
      <w:hyperlink r:id="rId15" w:history="1">
        <w:r w:rsidRPr="00CC12AA">
          <w:rPr>
            <w:rStyle w:val="Hipervnculo"/>
            <w:rFonts w:ascii="Times New Roman" w:hAnsi="Times New Roman" w:cs="Times New Roman"/>
            <w:sz w:val="22"/>
            <w:szCs w:val="22"/>
          </w:rPr>
          <w:t>https://doi.org/10.5209/reciem.76079</w:t>
        </w:r>
      </w:hyperlink>
      <w:r w:rsidRPr="00CC12AA">
        <w:rPr>
          <w:rFonts w:ascii="Times New Roman" w:hAnsi="Times New Roman" w:cs="Times New Roman"/>
          <w:sz w:val="22"/>
          <w:szCs w:val="22"/>
        </w:rPr>
        <w:t xml:space="preserve"> </w:t>
      </w:r>
    </w:p>
    <w:p w14:paraId="4B319677" w14:textId="54FBB38B" w:rsidR="00BE3717" w:rsidRPr="00CC12AA" w:rsidRDefault="00FD781D" w:rsidP="00915D7A">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lastRenderedPageBreak/>
        <w:t>Díaz-Santamaría, S., &amp; Moliner-García, O. (2020). Redefiniendo la educación musical inclusiva: Una revisión teórica. Revista Electrónica Complutense de Investigación en Educación Musical – RECIEM, 17, 21‑31. https://doi.org/10.5209/reciem.69092</w:t>
      </w:r>
    </w:p>
    <w:p w14:paraId="4AE62CFC" w14:textId="29707459" w:rsidR="00DF1B1B" w:rsidRPr="00CC12AA" w:rsidRDefault="00DF1B1B" w:rsidP="00915D7A">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Domínguez Rodríguez, F. J., &amp; Aznar Zafra, C. (2025). Incidencia del proyecto de Comunidad de Aprendizaje en la educación en valores y emocional del alumnado en Educación Primaria. </w:t>
      </w:r>
      <w:r w:rsidRPr="00CC12AA">
        <w:rPr>
          <w:rFonts w:ascii="Times New Roman" w:hAnsi="Times New Roman" w:cs="Times New Roman"/>
          <w:i/>
          <w:iCs/>
          <w:sz w:val="22"/>
          <w:szCs w:val="22"/>
        </w:rPr>
        <w:t>Revista De Estilos De Aprendizaje</w:t>
      </w:r>
      <w:r w:rsidRPr="00CC12AA">
        <w:rPr>
          <w:rFonts w:ascii="Times New Roman" w:hAnsi="Times New Roman" w:cs="Times New Roman"/>
          <w:sz w:val="22"/>
          <w:szCs w:val="22"/>
        </w:rPr>
        <w:t>, </w:t>
      </w:r>
      <w:r w:rsidRPr="00CC12AA">
        <w:rPr>
          <w:rFonts w:ascii="Times New Roman" w:hAnsi="Times New Roman" w:cs="Times New Roman"/>
          <w:i/>
          <w:iCs/>
          <w:sz w:val="22"/>
          <w:szCs w:val="22"/>
        </w:rPr>
        <w:t>18</w:t>
      </w:r>
      <w:r w:rsidRPr="00CC12AA">
        <w:rPr>
          <w:rFonts w:ascii="Times New Roman" w:hAnsi="Times New Roman" w:cs="Times New Roman"/>
          <w:sz w:val="22"/>
          <w:szCs w:val="22"/>
        </w:rPr>
        <w:t xml:space="preserve">(36), 191–203. </w:t>
      </w:r>
      <w:hyperlink r:id="rId16" w:history="1">
        <w:r w:rsidRPr="00CC12AA">
          <w:rPr>
            <w:rStyle w:val="Hipervnculo"/>
            <w:rFonts w:ascii="Times New Roman" w:hAnsi="Times New Roman" w:cs="Times New Roman"/>
            <w:sz w:val="22"/>
            <w:szCs w:val="22"/>
          </w:rPr>
          <w:t>https://doi.org/10.55777/rea.v18i36.7083</w:t>
        </w:r>
      </w:hyperlink>
      <w:r w:rsidRPr="00CC12AA">
        <w:rPr>
          <w:rFonts w:ascii="Times New Roman" w:hAnsi="Times New Roman" w:cs="Times New Roman"/>
          <w:sz w:val="22"/>
          <w:szCs w:val="22"/>
        </w:rPr>
        <w:t xml:space="preserve"> </w:t>
      </w:r>
    </w:p>
    <w:p w14:paraId="79818D3C" w14:textId="515527D6" w:rsidR="003F0F9D" w:rsidRPr="00CC12AA" w:rsidRDefault="008616CD" w:rsidP="00915D7A">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Gisbert</w:t>
      </w:r>
      <w:r w:rsidR="00FD781D" w:rsidRPr="00CC12AA">
        <w:rPr>
          <w:rFonts w:ascii="Times New Roman" w:hAnsi="Times New Roman" w:cs="Times New Roman"/>
          <w:sz w:val="22"/>
          <w:szCs w:val="22"/>
        </w:rPr>
        <w:t>-</w:t>
      </w:r>
      <w:proofErr w:type="spellStart"/>
      <w:r w:rsidRPr="00CC12AA">
        <w:rPr>
          <w:rFonts w:ascii="Times New Roman" w:hAnsi="Times New Roman" w:cs="Times New Roman"/>
          <w:sz w:val="22"/>
          <w:szCs w:val="22"/>
        </w:rPr>
        <w:t>Caudeli</w:t>
      </w:r>
      <w:proofErr w:type="spellEnd"/>
      <w:r w:rsidRPr="00CC12AA">
        <w:rPr>
          <w:rFonts w:ascii="Times New Roman" w:hAnsi="Times New Roman" w:cs="Times New Roman"/>
          <w:sz w:val="22"/>
          <w:szCs w:val="22"/>
        </w:rPr>
        <w:t>, V. G., Navarro</w:t>
      </w:r>
      <w:r w:rsidR="00FD781D" w:rsidRPr="00CC12AA">
        <w:rPr>
          <w:rFonts w:ascii="Times New Roman" w:hAnsi="Times New Roman" w:cs="Times New Roman"/>
          <w:sz w:val="22"/>
          <w:szCs w:val="22"/>
        </w:rPr>
        <w:t>-</w:t>
      </w:r>
      <w:proofErr w:type="spellStart"/>
      <w:r w:rsidRPr="00CC12AA">
        <w:rPr>
          <w:rFonts w:ascii="Times New Roman" w:hAnsi="Times New Roman" w:cs="Times New Roman"/>
          <w:sz w:val="22"/>
          <w:szCs w:val="22"/>
        </w:rPr>
        <w:t>Lalanda</w:t>
      </w:r>
      <w:proofErr w:type="spellEnd"/>
      <w:r w:rsidRPr="00CC12AA">
        <w:rPr>
          <w:rFonts w:ascii="Times New Roman" w:hAnsi="Times New Roman" w:cs="Times New Roman"/>
          <w:sz w:val="22"/>
          <w:szCs w:val="22"/>
        </w:rPr>
        <w:t>, S., &amp; Vela</w:t>
      </w:r>
      <w:r w:rsidR="00FD781D" w:rsidRPr="00CC12AA">
        <w:rPr>
          <w:rFonts w:ascii="Times New Roman" w:hAnsi="Times New Roman" w:cs="Times New Roman"/>
          <w:sz w:val="22"/>
          <w:szCs w:val="22"/>
        </w:rPr>
        <w:t>-</w:t>
      </w:r>
      <w:r w:rsidRPr="00CC12AA">
        <w:rPr>
          <w:rFonts w:ascii="Times New Roman" w:hAnsi="Times New Roman" w:cs="Times New Roman"/>
          <w:sz w:val="22"/>
          <w:szCs w:val="22"/>
        </w:rPr>
        <w:t xml:space="preserve">González, M. (2024). Alumnado con NEAE en el aula de música. Experiencia y formación del profesorado en inclusión educativa. </w:t>
      </w:r>
      <w:r w:rsidRPr="00CC12AA">
        <w:rPr>
          <w:rFonts w:ascii="Times New Roman" w:hAnsi="Times New Roman" w:cs="Times New Roman"/>
          <w:i/>
          <w:iCs/>
          <w:sz w:val="22"/>
          <w:szCs w:val="22"/>
        </w:rPr>
        <w:t>Revista Electrónica Complutense de Investigación en Educación Musical – RECIEM, 21</w:t>
      </w:r>
      <w:r w:rsidRPr="00CC12AA">
        <w:rPr>
          <w:rFonts w:ascii="Times New Roman" w:hAnsi="Times New Roman" w:cs="Times New Roman"/>
          <w:sz w:val="22"/>
          <w:szCs w:val="22"/>
        </w:rPr>
        <w:t>, 97–118. https://doi.org/10.5209/reciem.85719</w:t>
      </w:r>
    </w:p>
    <w:p w14:paraId="5A11BF17" w14:textId="6A7F2118" w:rsidR="00195148" w:rsidRPr="00CC12AA" w:rsidRDefault="00195148" w:rsidP="00915D7A">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González-</w:t>
      </w:r>
      <w:proofErr w:type="spellStart"/>
      <w:r w:rsidRPr="00CC12AA">
        <w:rPr>
          <w:rFonts w:ascii="Times New Roman" w:hAnsi="Times New Roman" w:cs="Times New Roman"/>
          <w:sz w:val="22"/>
          <w:szCs w:val="22"/>
        </w:rPr>
        <w:t>Zamar</w:t>
      </w:r>
      <w:proofErr w:type="spellEnd"/>
      <w:r w:rsidRPr="00CC12AA">
        <w:rPr>
          <w:rFonts w:ascii="Times New Roman" w:hAnsi="Times New Roman" w:cs="Times New Roman"/>
          <w:sz w:val="22"/>
          <w:szCs w:val="22"/>
        </w:rPr>
        <w:t>, M. D., &amp; Abad-Segura, E. (2020). Diseño del espacio educativo universitario y su impacto en el proceso académico: análisis de tendencias. </w:t>
      </w:r>
      <w:r w:rsidRPr="00CC12AA">
        <w:rPr>
          <w:rFonts w:ascii="Times New Roman" w:hAnsi="Times New Roman" w:cs="Times New Roman"/>
          <w:i/>
          <w:iCs/>
          <w:sz w:val="22"/>
          <w:szCs w:val="22"/>
        </w:rPr>
        <w:t>Revista De Estilos De Aprendizaje</w:t>
      </w:r>
      <w:r w:rsidRPr="00CC12AA">
        <w:rPr>
          <w:rFonts w:ascii="Times New Roman" w:hAnsi="Times New Roman" w:cs="Times New Roman"/>
          <w:sz w:val="22"/>
          <w:szCs w:val="22"/>
        </w:rPr>
        <w:t>, </w:t>
      </w:r>
      <w:r w:rsidRPr="00CC12AA">
        <w:rPr>
          <w:rFonts w:ascii="Times New Roman" w:hAnsi="Times New Roman" w:cs="Times New Roman"/>
          <w:i/>
          <w:iCs/>
          <w:sz w:val="22"/>
          <w:szCs w:val="22"/>
        </w:rPr>
        <w:t>13</w:t>
      </w:r>
      <w:r w:rsidRPr="00CC12AA">
        <w:rPr>
          <w:rFonts w:ascii="Times New Roman" w:hAnsi="Times New Roman" w:cs="Times New Roman"/>
          <w:sz w:val="22"/>
          <w:szCs w:val="22"/>
        </w:rPr>
        <w:t xml:space="preserve">(25), 1–13. </w:t>
      </w:r>
      <w:hyperlink r:id="rId17" w:history="1">
        <w:r w:rsidRPr="00CC12AA">
          <w:rPr>
            <w:rStyle w:val="Hipervnculo"/>
            <w:rFonts w:ascii="Times New Roman" w:hAnsi="Times New Roman" w:cs="Times New Roman"/>
            <w:sz w:val="22"/>
            <w:szCs w:val="22"/>
          </w:rPr>
          <w:t>https://doi.org/10.55777/rea.v13i25.1512</w:t>
        </w:r>
      </w:hyperlink>
      <w:r w:rsidRPr="00CC12AA">
        <w:rPr>
          <w:rFonts w:ascii="Times New Roman" w:hAnsi="Times New Roman" w:cs="Times New Roman"/>
          <w:sz w:val="22"/>
          <w:szCs w:val="22"/>
        </w:rPr>
        <w:t xml:space="preserve"> </w:t>
      </w:r>
    </w:p>
    <w:p w14:paraId="78C6CD3D" w14:textId="0D5A3E39" w:rsidR="00AD7C1B" w:rsidRPr="00CC12AA" w:rsidRDefault="00AD7C1B" w:rsidP="00915D7A">
      <w:pPr>
        <w:spacing w:line="240" w:lineRule="auto"/>
        <w:ind w:left="284" w:hanging="284"/>
        <w:contextualSpacing/>
        <w:jc w:val="both"/>
        <w:rPr>
          <w:rFonts w:ascii="Times New Roman" w:hAnsi="Times New Roman" w:cs="Times New Roman"/>
          <w:sz w:val="22"/>
          <w:szCs w:val="22"/>
        </w:rPr>
      </w:pPr>
      <w:proofErr w:type="spellStart"/>
      <w:r w:rsidRPr="00CC12AA">
        <w:rPr>
          <w:rFonts w:ascii="Times New Roman" w:hAnsi="Times New Roman" w:cs="Times New Roman"/>
          <w:sz w:val="22"/>
          <w:szCs w:val="22"/>
          <w:lang w:val="en-US"/>
        </w:rPr>
        <w:t>Economidou</w:t>
      </w:r>
      <w:proofErr w:type="spellEnd"/>
      <w:r w:rsidR="00FD781D" w:rsidRPr="00CC12AA">
        <w:rPr>
          <w:rFonts w:ascii="Times New Roman" w:hAnsi="Times New Roman" w:cs="Times New Roman"/>
          <w:sz w:val="22"/>
          <w:szCs w:val="22"/>
          <w:lang w:val="en-US"/>
        </w:rPr>
        <w:t>-</w:t>
      </w:r>
      <w:r w:rsidRPr="00CC12AA">
        <w:rPr>
          <w:rFonts w:ascii="Times New Roman" w:hAnsi="Times New Roman" w:cs="Times New Roman"/>
          <w:sz w:val="22"/>
          <w:szCs w:val="22"/>
          <w:lang w:val="en-US"/>
        </w:rPr>
        <w:t xml:space="preserve">Stavrou, N. (2024). Differentiated instruction in music education: Enhancing inclusive practices in the classroom. </w:t>
      </w:r>
      <w:proofErr w:type="spellStart"/>
      <w:r w:rsidRPr="00CC12AA">
        <w:rPr>
          <w:rFonts w:ascii="Times New Roman" w:hAnsi="Times New Roman" w:cs="Times New Roman"/>
          <w:i/>
          <w:iCs/>
          <w:sz w:val="22"/>
          <w:szCs w:val="22"/>
        </w:rPr>
        <w:t>Frontiers</w:t>
      </w:r>
      <w:proofErr w:type="spellEnd"/>
      <w:r w:rsidRPr="00CC12AA">
        <w:rPr>
          <w:rFonts w:ascii="Times New Roman" w:hAnsi="Times New Roman" w:cs="Times New Roman"/>
          <w:i/>
          <w:iCs/>
          <w:sz w:val="22"/>
          <w:szCs w:val="22"/>
        </w:rPr>
        <w:t xml:space="preserve"> in </w:t>
      </w:r>
      <w:proofErr w:type="spellStart"/>
      <w:r w:rsidRPr="00CC12AA">
        <w:rPr>
          <w:rFonts w:ascii="Times New Roman" w:hAnsi="Times New Roman" w:cs="Times New Roman"/>
          <w:i/>
          <w:iCs/>
          <w:sz w:val="22"/>
          <w:szCs w:val="22"/>
        </w:rPr>
        <w:t>Education</w:t>
      </w:r>
      <w:proofErr w:type="spellEnd"/>
      <w:r w:rsidRPr="00CC12AA">
        <w:rPr>
          <w:rFonts w:ascii="Times New Roman" w:hAnsi="Times New Roman" w:cs="Times New Roman"/>
          <w:sz w:val="22"/>
          <w:szCs w:val="22"/>
        </w:rPr>
        <w:t xml:space="preserve">, 9, 1501354. </w:t>
      </w:r>
      <w:hyperlink r:id="rId18" w:tgtFrame="_new" w:history="1">
        <w:r w:rsidRPr="00CC12AA">
          <w:rPr>
            <w:rStyle w:val="Hipervnculo"/>
            <w:rFonts w:ascii="Times New Roman" w:hAnsi="Times New Roman" w:cs="Times New Roman"/>
            <w:sz w:val="22"/>
            <w:szCs w:val="22"/>
          </w:rPr>
          <w:t>https://www.frontiersin.org/articles/10.3389/feduc.2024.1501354/full</w:t>
        </w:r>
      </w:hyperlink>
    </w:p>
    <w:p w14:paraId="5D0C2BF5" w14:textId="624E8164" w:rsidR="007877EF" w:rsidRPr="00CC12AA" w:rsidRDefault="007877EF" w:rsidP="00915D7A">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 xml:space="preserve">Espinosa, Y., Martínez Arcia, F., &amp; Falcó González, P. (2021). Los estilos de aprendizaje y las inteligencias múltiples en estudiantes del colegio Francisco de Paula Santander. </w:t>
      </w:r>
      <w:r w:rsidRPr="00CC12AA">
        <w:rPr>
          <w:rFonts w:ascii="Times New Roman" w:hAnsi="Times New Roman" w:cs="Times New Roman"/>
          <w:i/>
          <w:iCs/>
          <w:sz w:val="22"/>
          <w:szCs w:val="22"/>
        </w:rPr>
        <w:t>Revista de Estilos de Aprendizaje, 14</w:t>
      </w:r>
      <w:r w:rsidRPr="00CC12AA">
        <w:rPr>
          <w:rFonts w:ascii="Times New Roman" w:hAnsi="Times New Roman" w:cs="Times New Roman"/>
          <w:sz w:val="22"/>
          <w:szCs w:val="22"/>
        </w:rPr>
        <w:t>(28), 234–247. https://doi.org/10.55777/rea.v14i28.2848</w:t>
      </w:r>
    </w:p>
    <w:p w14:paraId="5D16D8A8" w14:textId="0DCD994A" w:rsidR="00F170D4" w:rsidRPr="00CC12AA" w:rsidRDefault="00F170D4" w:rsidP="00915D7A">
      <w:pPr>
        <w:spacing w:line="240" w:lineRule="auto"/>
        <w:ind w:left="284" w:hanging="284"/>
        <w:contextualSpacing/>
        <w:jc w:val="both"/>
        <w:rPr>
          <w:rFonts w:ascii="Times New Roman" w:hAnsi="Times New Roman" w:cs="Times New Roman"/>
          <w:sz w:val="22"/>
          <w:szCs w:val="22"/>
          <w:lang w:val="en-US"/>
        </w:rPr>
      </w:pPr>
      <w:r w:rsidRPr="00CC12AA">
        <w:rPr>
          <w:rFonts w:ascii="Times New Roman" w:hAnsi="Times New Roman" w:cs="Times New Roman"/>
          <w:sz w:val="22"/>
          <w:szCs w:val="22"/>
          <w:lang w:val="it-IT"/>
        </w:rPr>
        <w:t xml:space="preserve">Gallego, D. J., Alonso, C., &amp; Melare Vieira Barros, D. (2022). </w:t>
      </w:r>
      <w:r w:rsidRPr="00CC12AA">
        <w:rPr>
          <w:rFonts w:ascii="Times New Roman" w:hAnsi="Times New Roman" w:cs="Times New Roman"/>
          <w:sz w:val="22"/>
          <w:szCs w:val="22"/>
        </w:rPr>
        <w:t>Estilos de Aprendizaje y Estilos de Enseñanza. Propuestas pedagógicas para la transformación de la educación. </w:t>
      </w:r>
      <w:r w:rsidRPr="00CC12AA">
        <w:rPr>
          <w:rFonts w:ascii="Times New Roman" w:hAnsi="Times New Roman" w:cs="Times New Roman"/>
          <w:i/>
          <w:iCs/>
          <w:sz w:val="22"/>
          <w:szCs w:val="22"/>
        </w:rPr>
        <w:t>Revista De Estilos De Aprendizaje</w:t>
      </w:r>
      <w:r w:rsidRPr="00CC12AA">
        <w:rPr>
          <w:rFonts w:ascii="Times New Roman" w:hAnsi="Times New Roman" w:cs="Times New Roman"/>
          <w:sz w:val="22"/>
          <w:szCs w:val="22"/>
        </w:rPr>
        <w:t>, </w:t>
      </w:r>
      <w:r w:rsidRPr="00CC12AA">
        <w:rPr>
          <w:rFonts w:ascii="Times New Roman" w:hAnsi="Times New Roman" w:cs="Times New Roman"/>
          <w:i/>
          <w:iCs/>
          <w:sz w:val="22"/>
          <w:szCs w:val="22"/>
        </w:rPr>
        <w:t>15</w:t>
      </w:r>
      <w:r w:rsidRPr="00CC12AA">
        <w:rPr>
          <w:rFonts w:ascii="Times New Roman" w:hAnsi="Times New Roman" w:cs="Times New Roman"/>
          <w:sz w:val="22"/>
          <w:szCs w:val="22"/>
        </w:rPr>
        <w:t xml:space="preserve">(Especial), 1–4. </w:t>
      </w:r>
      <w:hyperlink r:id="rId19" w:history="1">
        <w:r w:rsidRPr="00CC12AA">
          <w:rPr>
            <w:rStyle w:val="Hipervnculo"/>
            <w:rFonts w:ascii="Times New Roman" w:hAnsi="Times New Roman" w:cs="Times New Roman"/>
            <w:sz w:val="22"/>
            <w:szCs w:val="22"/>
            <w:lang w:val="en-US"/>
          </w:rPr>
          <w:t>https://</w:t>
        </w:r>
        <w:r w:rsidRPr="00CC12AA">
          <w:rPr>
            <w:rStyle w:val="Hipervnculo"/>
            <w:rFonts w:ascii="Times New Roman" w:hAnsi="Times New Roman" w:cs="Times New Roman"/>
            <w:sz w:val="22"/>
            <w:szCs w:val="22"/>
            <w:lang w:val="en-US"/>
          </w:rPr>
          <w:t>d</w:t>
        </w:r>
        <w:r w:rsidRPr="00CC12AA">
          <w:rPr>
            <w:rStyle w:val="Hipervnculo"/>
            <w:rFonts w:ascii="Times New Roman" w:hAnsi="Times New Roman" w:cs="Times New Roman"/>
            <w:sz w:val="22"/>
            <w:szCs w:val="22"/>
            <w:lang w:val="en-US"/>
          </w:rPr>
          <w:t>oi.org/10.55777/rea.v15iEspecial.5309</w:t>
        </w:r>
      </w:hyperlink>
      <w:r w:rsidRPr="00CC12AA">
        <w:rPr>
          <w:rFonts w:ascii="Times New Roman" w:hAnsi="Times New Roman" w:cs="Times New Roman"/>
          <w:sz w:val="22"/>
          <w:szCs w:val="22"/>
          <w:lang w:val="en-US"/>
        </w:rPr>
        <w:t xml:space="preserve"> </w:t>
      </w:r>
    </w:p>
    <w:p w14:paraId="7A1432CD" w14:textId="4D80B119" w:rsidR="003F0F9D" w:rsidRPr="00CC12AA" w:rsidRDefault="003F0F9D" w:rsidP="00915D7A">
      <w:pPr>
        <w:spacing w:line="240" w:lineRule="auto"/>
        <w:ind w:left="284" w:hanging="284"/>
        <w:contextualSpacing/>
        <w:jc w:val="both"/>
        <w:rPr>
          <w:rFonts w:ascii="Times New Roman" w:hAnsi="Times New Roman" w:cs="Times New Roman"/>
          <w:sz w:val="22"/>
          <w:szCs w:val="22"/>
          <w:lang w:val="en-US"/>
        </w:rPr>
      </w:pPr>
      <w:r w:rsidRPr="00CC12AA">
        <w:rPr>
          <w:rFonts w:ascii="Times New Roman" w:hAnsi="Times New Roman" w:cs="Times New Roman"/>
          <w:sz w:val="22"/>
          <w:szCs w:val="22"/>
          <w:lang w:val="en-US"/>
        </w:rPr>
        <w:t xml:space="preserve">Hallam, S. (2010). The power of music: Its impact on the intellectual, social and personal development of children and young people. </w:t>
      </w:r>
      <w:r w:rsidRPr="00CC12AA">
        <w:rPr>
          <w:rFonts w:ascii="Times New Roman" w:hAnsi="Times New Roman" w:cs="Times New Roman"/>
          <w:i/>
          <w:iCs/>
          <w:sz w:val="22"/>
          <w:szCs w:val="22"/>
          <w:lang w:val="en-US"/>
        </w:rPr>
        <w:t>International Journal of Music Education, 28</w:t>
      </w:r>
      <w:r w:rsidRPr="00CC12AA">
        <w:rPr>
          <w:rFonts w:ascii="Times New Roman" w:hAnsi="Times New Roman" w:cs="Times New Roman"/>
          <w:sz w:val="22"/>
          <w:szCs w:val="22"/>
          <w:lang w:val="en-US"/>
        </w:rPr>
        <w:t xml:space="preserve">(3), 269–289. </w:t>
      </w:r>
      <w:hyperlink r:id="rId20" w:tgtFrame="_new" w:history="1">
        <w:r w:rsidRPr="00CC12AA">
          <w:rPr>
            <w:rStyle w:val="Hipervnculo"/>
            <w:rFonts w:ascii="Times New Roman" w:hAnsi="Times New Roman" w:cs="Times New Roman"/>
            <w:sz w:val="22"/>
            <w:szCs w:val="22"/>
            <w:lang w:val="en-US"/>
          </w:rPr>
          <w:t>https://doi.org/10.1177/0255761410370658</w:t>
        </w:r>
      </w:hyperlink>
    </w:p>
    <w:p w14:paraId="17771CD8" w14:textId="183D6165" w:rsidR="00B460CC" w:rsidRPr="00CC12AA" w:rsidRDefault="00B460CC" w:rsidP="00915D7A">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lang w:val="en-US"/>
        </w:rPr>
        <w:t>Juan</w:t>
      </w:r>
      <w:r w:rsidRPr="00CC12AA">
        <w:rPr>
          <w:rFonts w:ascii="Times New Roman" w:hAnsi="Times New Roman" w:cs="Times New Roman"/>
          <w:sz w:val="22"/>
          <w:szCs w:val="22"/>
          <w:lang w:val="en-US"/>
        </w:rPr>
        <w:noBreakHyphen/>
        <w:t>Morera, J., Nadal</w:t>
      </w:r>
      <w:r w:rsidRPr="00CC12AA">
        <w:rPr>
          <w:rFonts w:ascii="Times New Roman" w:hAnsi="Times New Roman" w:cs="Times New Roman"/>
          <w:sz w:val="22"/>
          <w:szCs w:val="22"/>
          <w:lang w:val="en-US"/>
        </w:rPr>
        <w:noBreakHyphen/>
        <w:t>García, F., &amp; López</w:t>
      </w:r>
      <w:r w:rsidRPr="00CC12AA">
        <w:rPr>
          <w:rFonts w:ascii="Times New Roman" w:hAnsi="Times New Roman" w:cs="Times New Roman"/>
          <w:sz w:val="22"/>
          <w:szCs w:val="22"/>
          <w:lang w:val="en-US"/>
        </w:rPr>
        <w:noBreakHyphen/>
        <w:t xml:space="preserve">Casanova, S. (2023). Music education and social inclusion: A systematic review of inclusive musical practices. </w:t>
      </w:r>
      <w:proofErr w:type="spellStart"/>
      <w:r w:rsidRPr="00CC12AA">
        <w:rPr>
          <w:rFonts w:ascii="Times New Roman" w:hAnsi="Times New Roman" w:cs="Times New Roman"/>
          <w:i/>
          <w:iCs/>
          <w:sz w:val="22"/>
          <w:szCs w:val="22"/>
        </w:rPr>
        <w:t>Arts</w:t>
      </w:r>
      <w:proofErr w:type="spellEnd"/>
      <w:r w:rsidRPr="00CC12AA">
        <w:rPr>
          <w:rFonts w:ascii="Times New Roman" w:hAnsi="Times New Roman" w:cs="Times New Roman"/>
          <w:sz w:val="22"/>
          <w:szCs w:val="22"/>
        </w:rPr>
        <w:t xml:space="preserve">, 12(8), 992. </w:t>
      </w:r>
      <w:hyperlink r:id="rId21" w:tgtFrame="_new" w:history="1">
        <w:r w:rsidRPr="00CC12AA">
          <w:rPr>
            <w:rStyle w:val="Hipervnculo"/>
            <w:rFonts w:ascii="Times New Roman" w:hAnsi="Times New Roman" w:cs="Times New Roman"/>
            <w:sz w:val="22"/>
            <w:szCs w:val="22"/>
          </w:rPr>
          <w:t>https://www.mdpi.com/2018992</w:t>
        </w:r>
      </w:hyperlink>
    </w:p>
    <w:p w14:paraId="452DD63C" w14:textId="6A27743F" w:rsidR="005621C0" w:rsidRPr="00CC12AA" w:rsidRDefault="005621C0" w:rsidP="00915D7A">
      <w:pPr>
        <w:spacing w:line="240" w:lineRule="auto"/>
        <w:ind w:left="284" w:hanging="284"/>
        <w:contextualSpacing/>
        <w:jc w:val="both"/>
        <w:rPr>
          <w:rFonts w:ascii="Times New Roman" w:hAnsi="Times New Roman" w:cs="Times New Roman"/>
          <w:sz w:val="22"/>
          <w:szCs w:val="22"/>
        </w:rPr>
      </w:pPr>
      <w:r w:rsidRPr="00CC12AA">
        <w:rPr>
          <w:rFonts w:ascii="Times New Roman" w:hAnsi="Times New Roman" w:cs="Times New Roman"/>
          <w:sz w:val="22"/>
          <w:szCs w:val="22"/>
        </w:rPr>
        <w:t>Sánchez Camacho, R., &amp; Grané i Oró, M. (2025). Innovación educativa y programación en el desarrollo de competencias emocionales en Educación Primaria. </w:t>
      </w:r>
      <w:r w:rsidRPr="00CC12AA">
        <w:rPr>
          <w:rFonts w:ascii="Times New Roman" w:hAnsi="Times New Roman" w:cs="Times New Roman"/>
          <w:i/>
          <w:iCs/>
          <w:sz w:val="22"/>
          <w:szCs w:val="22"/>
        </w:rPr>
        <w:t>Revista De Estilos De Aprendizaje</w:t>
      </w:r>
      <w:r w:rsidRPr="00CC12AA">
        <w:rPr>
          <w:rFonts w:ascii="Times New Roman" w:hAnsi="Times New Roman" w:cs="Times New Roman"/>
          <w:sz w:val="22"/>
          <w:szCs w:val="22"/>
        </w:rPr>
        <w:t>, </w:t>
      </w:r>
      <w:r w:rsidRPr="00CC12AA">
        <w:rPr>
          <w:rFonts w:ascii="Times New Roman" w:hAnsi="Times New Roman" w:cs="Times New Roman"/>
          <w:i/>
          <w:iCs/>
          <w:sz w:val="22"/>
          <w:szCs w:val="22"/>
        </w:rPr>
        <w:t>18</w:t>
      </w:r>
      <w:r w:rsidRPr="00CC12AA">
        <w:rPr>
          <w:rFonts w:ascii="Times New Roman" w:hAnsi="Times New Roman" w:cs="Times New Roman"/>
          <w:sz w:val="22"/>
          <w:szCs w:val="22"/>
        </w:rPr>
        <w:t xml:space="preserve">(35), 26–34. </w:t>
      </w:r>
      <w:hyperlink r:id="rId22" w:history="1">
        <w:r w:rsidRPr="00CC12AA">
          <w:rPr>
            <w:rStyle w:val="Hipervnculo"/>
            <w:rFonts w:ascii="Times New Roman" w:hAnsi="Times New Roman" w:cs="Times New Roman"/>
            <w:sz w:val="22"/>
            <w:szCs w:val="22"/>
          </w:rPr>
          <w:t>https://doi.org/10.55777/rea.v18i35.7064</w:t>
        </w:r>
      </w:hyperlink>
      <w:r w:rsidRPr="00CC12AA">
        <w:rPr>
          <w:rFonts w:ascii="Times New Roman" w:hAnsi="Times New Roman" w:cs="Times New Roman"/>
          <w:sz w:val="22"/>
          <w:szCs w:val="22"/>
        </w:rPr>
        <w:t xml:space="preserve"> </w:t>
      </w:r>
    </w:p>
    <w:p w14:paraId="05EA71F2" w14:textId="6EAEDBA9" w:rsidR="003F0F9D" w:rsidRPr="00CC12AA" w:rsidRDefault="003F0F9D" w:rsidP="00915D7A">
      <w:pPr>
        <w:spacing w:line="240" w:lineRule="auto"/>
        <w:ind w:left="284" w:hanging="284"/>
        <w:contextualSpacing/>
        <w:jc w:val="both"/>
        <w:rPr>
          <w:rFonts w:ascii="Times New Roman" w:hAnsi="Times New Roman" w:cs="Times New Roman"/>
          <w:sz w:val="22"/>
          <w:szCs w:val="22"/>
          <w:lang w:val="en-US"/>
        </w:rPr>
      </w:pPr>
      <w:r w:rsidRPr="00CC12AA">
        <w:rPr>
          <w:rFonts w:ascii="Times New Roman" w:hAnsi="Times New Roman" w:cs="Times New Roman"/>
          <w:sz w:val="22"/>
          <w:szCs w:val="22"/>
          <w:lang w:val="en-US"/>
        </w:rPr>
        <w:t xml:space="preserve">UNESCO. (2022). </w:t>
      </w:r>
      <w:r w:rsidRPr="00CC12AA">
        <w:rPr>
          <w:rFonts w:ascii="Times New Roman" w:hAnsi="Times New Roman" w:cs="Times New Roman"/>
          <w:i/>
          <w:iCs/>
          <w:sz w:val="22"/>
          <w:szCs w:val="22"/>
          <w:lang w:val="en-US"/>
        </w:rPr>
        <w:t>Reimagining our futures together: A new social contract for education</w:t>
      </w:r>
      <w:r w:rsidRPr="00CC12AA">
        <w:rPr>
          <w:rFonts w:ascii="Times New Roman" w:hAnsi="Times New Roman" w:cs="Times New Roman"/>
          <w:sz w:val="22"/>
          <w:szCs w:val="22"/>
          <w:lang w:val="en-US"/>
        </w:rPr>
        <w:t>. UNESCO.</w:t>
      </w:r>
    </w:p>
    <w:p w14:paraId="3CC47538" w14:textId="5C443EB3" w:rsidR="006967ED" w:rsidRDefault="0084738D" w:rsidP="00915D7A">
      <w:pPr>
        <w:spacing w:line="240" w:lineRule="auto"/>
        <w:ind w:left="284" w:hanging="284"/>
        <w:contextualSpacing/>
        <w:jc w:val="both"/>
        <w:rPr>
          <w:rFonts w:ascii="Times New Roman" w:hAnsi="Times New Roman" w:cs="Times New Roman"/>
          <w:sz w:val="22"/>
          <w:szCs w:val="22"/>
          <w:lang w:val="en-US"/>
        </w:rPr>
      </w:pPr>
      <w:r w:rsidRPr="00CC12AA">
        <w:rPr>
          <w:rFonts w:ascii="Times New Roman" w:hAnsi="Times New Roman" w:cs="Times New Roman"/>
          <w:sz w:val="22"/>
          <w:szCs w:val="22"/>
          <w:lang w:val="en-US"/>
        </w:rPr>
        <w:t xml:space="preserve">Van der Merwe, A., &amp; Burns, J. (2023). </w:t>
      </w:r>
      <w:r w:rsidRPr="00CC12AA">
        <w:rPr>
          <w:rFonts w:ascii="Times New Roman" w:hAnsi="Times New Roman" w:cs="Times New Roman"/>
          <w:i/>
          <w:iCs/>
          <w:sz w:val="22"/>
          <w:szCs w:val="22"/>
          <w:lang w:val="en-US"/>
        </w:rPr>
        <w:t>Music pedagogy and social inclusion: A systematic review of research trends</w:t>
      </w:r>
      <w:r w:rsidRPr="00CC12AA">
        <w:rPr>
          <w:rFonts w:ascii="Times New Roman" w:hAnsi="Times New Roman" w:cs="Times New Roman"/>
          <w:sz w:val="22"/>
          <w:szCs w:val="22"/>
          <w:lang w:val="en-US"/>
        </w:rPr>
        <w:t xml:space="preserve">. </w:t>
      </w:r>
      <w:r w:rsidRPr="00CC12AA">
        <w:rPr>
          <w:rFonts w:ascii="Times New Roman" w:hAnsi="Times New Roman" w:cs="Times New Roman"/>
          <w:i/>
          <w:iCs/>
          <w:sz w:val="22"/>
          <w:szCs w:val="22"/>
          <w:lang w:val="en-US"/>
        </w:rPr>
        <w:t>Frontiers in Psychology, 14</w:t>
      </w:r>
      <w:r w:rsidRPr="00CC12AA">
        <w:rPr>
          <w:rFonts w:ascii="Times New Roman" w:hAnsi="Times New Roman" w:cs="Times New Roman"/>
          <w:sz w:val="22"/>
          <w:szCs w:val="22"/>
          <w:lang w:val="en-US"/>
        </w:rPr>
        <w:t xml:space="preserve">, 1259874. </w:t>
      </w:r>
      <w:hyperlink r:id="rId23" w:history="1">
        <w:r w:rsidRPr="00CC12AA">
          <w:rPr>
            <w:rStyle w:val="Hipervnculo"/>
            <w:rFonts w:ascii="Times New Roman" w:hAnsi="Times New Roman" w:cs="Times New Roman"/>
            <w:sz w:val="22"/>
            <w:szCs w:val="22"/>
            <w:lang w:val="en-US"/>
          </w:rPr>
          <w:t>https://doi.org/10.3389/fpsyg.2023.1259874</w:t>
        </w:r>
      </w:hyperlink>
      <w:r w:rsidRPr="00CC12AA">
        <w:rPr>
          <w:rFonts w:ascii="Times New Roman" w:hAnsi="Times New Roman" w:cs="Times New Roman"/>
          <w:sz w:val="22"/>
          <w:szCs w:val="22"/>
          <w:lang w:val="en-US"/>
        </w:rPr>
        <w:t xml:space="preserve"> </w:t>
      </w:r>
    </w:p>
    <w:p w14:paraId="4FC80454" w14:textId="77777777" w:rsidR="00CC12AA" w:rsidRDefault="00CC12AA" w:rsidP="00915D7A">
      <w:pPr>
        <w:spacing w:line="240" w:lineRule="auto"/>
        <w:ind w:left="284" w:hanging="284"/>
        <w:contextualSpacing/>
        <w:jc w:val="both"/>
        <w:rPr>
          <w:rFonts w:ascii="Times New Roman" w:hAnsi="Times New Roman" w:cs="Times New Roman"/>
          <w:sz w:val="22"/>
          <w:szCs w:val="22"/>
          <w:lang w:val="en-US"/>
        </w:rPr>
      </w:pPr>
    </w:p>
    <w:p w14:paraId="059281C0" w14:textId="77777777" w:rsidR="00CC12AA" w:rsidRPr="00CC12AA" w:rsidRDefault="00CC12AA" w:rsidP="00CC12AA">
      <w:pPr>
        <w:pBdr>
          <w:bottom w:val="single" w:sz="4" w:space="1" w:color="auto"/>
        </w:pBdr>
        <w:spacing w:line="240" w:lineRule="auto"/>
        <w:ind w:left="284" w:hanging="284"/>
        <w:contextualSpacing/>
        <w:jc w:val="both"/>
        <w:rPr>
          <w:rFonts w:ascii="Times New Roman" w:hAnsi="Times New Roman" w:cs="Times New Roman"/>
          <w:sz w:val="22"/>
          <w:szCs w:val="22"/>
          <w:lang w:val="en-US"/>
        </w:rPr>
      </w:pPr>
    </w:p>
    <w:p w14:paraId="104337F4" w14:textId="77777777" w:rsidR="00915D7A" w:rsidRDefault="00915D7A" w:rsidP="00915D7A">
      <w:pPr>
        <w:tabs>
          <w:tab w:val="left" w:pos="821"/>
        </w:tabs>
        <w:spacing w:line="240" w:lineRule="auto"/>
        <w:ind w:right="-2"/>
        <w:contextualSpacing/>
        <w:jc w:val="both"/>
        <w:rPr>
          <w:rFonts w:ascii="Times New Roman" w:hAnsi="Times New Roman" w:cs="Times New Roman"/>
          <w:sz w:val="22"/>
          <w:szCs w:val="22"/>
          <w:lang w:val="en-US"/>
        </w:rPr>
      </w:pPr>
    </w:p>
    <w:p w14:paraId="56AB77B8" w14:textId="77777777" w:rsidR="00CC12AA" w:rsidRPr="00CC12AA" w:rsidRDefault="00CC12AA" w:rsidP="00915D7A">
      <w:pPr>
        <w:tabs>
          <w:tab w:val="left" w:pos="821"/>
        </w:tabs>
        <w:spacing w:line="240" w:lineRule="auto"/>
        <w:ind w:right="-2"/>
        <w:contextualSpacing/>
        <w:jc w:val="both"/>
        <w:rPr>
          <w:rFonts w:ascii="Times New Roman" w:hAnsi="Times New Roman" w:cs="Times New Roman"/>
          <w:sz w:val="22"/>
          <w:szCs w:val="22"/>
          <w:lang w:val="en-US"/>
        </w:rPr>
      </w:pPr>
    </w:p>
    <w:p w14:paraId="4029B408" w14:textId="5A0BC2F6" w:rsidR="00915D7A" w:rsidRPr="00CC12AA" w:rsidRDefault="00915D7A" w:rsidP="00915D7A">
      <w:pPr>
        <w:tabs>
          <w:tab w:val="left" w:pos="821"/>
        </w:tabs>
        <w:spacing w:line="240" w:lineRule="auto"/>
        <w:ind w:right="-2"/>
        <w:contextualSpacing/>
        <w:jc w:val="both"/>
        <w:rPr>
          <w:rFonts w:ascii="Times New Roman" w:hAnsi="Times New Roman" w:cs="Times New Roman"/>
          <w:color w:val="000000"/>
          <w:sz w:val="22"/>
          <w:szCs w:val="22"/>
          <w:lang w:val="en-GB"/>
        </w:rPr>
      </w:pPr>
      <w:r w:rsidRPr="00CC12AA">
        <w:rPr>
          <w:rFonts w:ascii="Times New Roman" w:hAnsi="Times New Roman" w:cs="Times New Roman"/>
          <w:noProof/>
          <w:color w:val="000000"/>
          <w:sz w:val="22"/>
          <w:szCs w:val="22"/>
          <w:lang w:val="pt-PT" w:eastAsia="pt-PT"/>
        </w:rPr>
        <w:drawing>
          <wp:inline distT="0" distB="0" distL="0" distR="0" wp14:anchorId="7C0A1CEB" wp14:editId="0B1CA2BE">
            <wp:extent cx="1141095" cy="408305"/>
            <wp:effectExtent l="0" t="0" r="0" b="0"/>
            <wp:docPr id="1076410109" name="Imagen 1" descr="Un dibujo de una cara feliz&#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Un dibujo de una cara feliz&#10;&#10;El contenido generado por IA puede ser incorrect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1095" cy="408305"/>
                    </a:xfrm>
                    <a:prstGeom prst="rect">
                      <a:avLst/>
                    </a:prstGeom>
                    <a:noFill/>
                    <a:ln>
                      <a:noFill/>
                    </a:ln>
                  </pic:spPr>
                </pic:pic>
              </a:graphicData>
            </a:graphic>
          </wp:inline>
        </w:drawing>
      </w:r>
      <w:r w:rsidRPr="00CC12AA">
        <w:rPr>
          <w:rFonts w:ascii="Times New Roman" w:hAnsi="Times New Roman" w:cs="Times New Roman"/>
          <w:color w:val="000000"/>
          <w:sz w:val="22"/>
          <w:szCs w:val="22"/>
          <w:lang w:val="en-US"/>
        </w:rPr>
        <w:t xml:space="preserve">  © 2026 by the authors. </w:t>
      </w:r>
      <w:r w:rsidRPr="00CC12AA">
        <w:rPr>
          <w:rFonts w:ascii="Times New Roman" w:hAnsi="Times New Roman" w:cs="Times New Roman"/>
          <w:color w:val="000000"/>
          <w:sz w:val="22"/>
          <w:szCs w:val="22"/>
          <w:lang w:val="en-GB"/>
        </w:rPr>
        <w:t>Submitted for open access publication under the terms and conditions of the Creative Commons</w:t>
      </w:r>
    </w:p>
    <w:p w14:paraId="1AEC7325" w14:textId="77777777" w:rsidR="00915D7A" w:rsidRPr="00CC12AA" w:rsidRDefault="00915D7A" w:rsidP="00915D7A">
      <w:pPr>
        <w:spacing w:after="0" w:line="240" w:lineRule="auto"/>
        <w:contextualSpacing/>
        <w:jc w:val="both"/>
        <w:rPr>
          <w:rFonts w:ascii="Times New Roman" w:hAnsi="Times New Roman" w:cs="Times New Roman"/>
          <w:sz w:val="22"/>
          <w:szCs w:val="22"/>
          <w:lang w:val="en-US"/>
        </w:rPr>
      </w:pPr>
    </w:p>
    <w:p w14:paraId="6659ACF5" w14:textId="77777777" w:rsidR="00915D7A" w:rsidRPr="00CC12AA" w:rsidRDefault="00915D7A" w:rsidP="00915D7A">
      <w:pPr>
        <w:spacing w:line="240" w:lineRule="auto"/>
        <w:ind w:left="284" w:hanging="284"/>
        <w:contextualSpacing/>
        <w:jc w:val="both"/>
        <w:rPr>
          <w:rFonts w:ascii="Times New Roman" w:hAnsi="Times New Roman" w:cs="Times New Roman"/>
          <w:sz w:val="22"/>
          <w:szCs w:val="22"/>
          <w:lang w:val="en-US"/>
        </w:rPr>
      </w:pPr>
    </w:p>
    <w:sectPr w:rsidR="00915D7A" w:rsidRPr="00CC12AA" w:rsidSect="00915D7A">
      <w:footerReference w:type="even" r:id="rId25"/>
      <w:footerReference w:type="default" r:id="rId26"/>
      <w:pgSz w:w="11906" w:h="16838"/>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4C1C" w14:textId="77777777" w:rsidR="00022F6B" w:rsidRDefault="00022F6B" w:rsidP="00915D7A">
      <w:pPr>
        <w:spacing w:after="0" w:line="240" w:lineRule="auto"/>
      </w:pPr>
      <w:r>
        <w:separator/>
      </w:r>
    </w:p>
  </w:endnote>
  <w:endnote w:type="continuationSeparator" w:id="0">
    <w:p w14:paraId="4BFC5807" w14:textId="77777777" w:rsidR="00022F6B" w:rsidRDefault="00022F6B" w:rsidP="0091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32292076"/>
      <w:docPartObj>
        <w:docPartGallery w:val="Page Numbers (Bottom of Page)"/>
        <w:docPartUnique/>
      </w:docPartObj>
    </w:sdtPr>
    <w:sdtContent>
      <w:p w14:paraId="2822D6CA" w14:textId="4219CEC3" w:rsidR="00915D7A" w:rsidRDefault="00915D7A" w:rsidP="00EC3A9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5FE28AB" w14:textId="77777777" w:rsidR="00915D7A" w:rsidRDefault="00915D7A" w:rsidP="00915D7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Calibri" w:hAnsi="Calibri" w:cs="Calibri"/>
        <w:color w:val="7F7F7F" w:themeColor="text1" w:themeTint="80"/>
        <w:sz w:val="18"/>
        <w:szCs w:val="18"/>
      </w:rPr>
      <w:id w:val="-1426563957"/>
      <w:docPartObj>
        <w:docPartGallery w:val="Page Numbers (Bottom of Page)"/>
        <w:docPartUnique/>
      </w:docPartObj>
    </w:sdtPr>
    <w:sdtContent>
      <w:p w14:paraId="31EA3085" w14:textId="77777777" w:rsidR="00915D7A" w:rsidRPr="00915D7A" w:rsidRDefault="00915D7A" w:rsidP="00915D7A">
        <w:pPr>
          <w:pStyle w:val="Piedepgina"/>
          <w:framePr w:wrap="none" w:vAnchor="text" w:hAnchor="margin" w:xAlign="right" w:y="164"/>
          <w:rPr>
            <w:rStyle w:val="Nmerodepgina"/>
            <w:rFonts w:ascii="Calibri" w:hAnsi="Calibri" w:cs="Calibri"/>
            <w:color w:val="7F7F7F" w:themeColor="text1" w:themeTint="80"/>
            <w:sz w:val="18"/>
            <w:szCs w:val="18"/>
          </w:rPr>
        </w:pPr>
        <w:r w:rsidRPr="00915D7A">
          <w:rPr>
            <w:rStyle w:val="Nmerodepgina"/>
            <w:rFonts w:ascii="Calibri" w:hAnsi="Calibri" w:cs="Calibri"/>
            <w:color w:val="7F7F7F" w:themeColor="text1" w:themeTint="80"/>
            <w:sz w:val="18"/>
            <w:szCs w:val="18"/>
          </w:rPr>
          <w:fldChar w:fldCharType="begin"/>
        </w:r>
        <w:r w:rsidRPr="00915D7A">
          <w:rPr>
            <w:rStyle w:val="Nmerodepgina"/>
            <w:rFonts w:ascii="Calibri" w:hAnsi="Calibri" w:cs="Calibri"/>
            <w:color w:val="7F7F7F" w:themeColor="text1" w:themeTint="80"/>
            <w:sz w:val="18"/>
            <w:szCs w:val="18"/>
          </w:rPr>
          <w:instrText xml:space="preserve"> PAGE </w:instrText>
        </w:r>
        <w:r w:rsidRPr="00915D7A">
          <w:rPr>
            <w:rStyle w:val="Nmerodepgina"/>
            <w:rFonts w:ascii="Calibri" w:hAnsi="Calibri" w:cs="Calibri"/>
            <w:color w:val="7F7F7F" w:themeColor="text1" w:themeTint="80"/>
            <w:sz w:val="18"/>
            <w:szCs w:val="18"/>
          </w:rPr>
          <w:fldChar w:fldCharType="separate"/>
        </w:r>
        <w:r w:rsidRPr="00915D7A">
          <w:rPr>
            <w:rStyle w:val="Nmerodepgina"/>
            <w:rFonts w:ascii="Calibri" w:hAnsi="Calibri" w:cs="Calibri"/>
            <w:noProof/>
            <w:color w:val="7F7F7F" w:themeColor="text1" w:themeTint="80"/>
            <w:sz w:val="18"/>
            <w:szCs w:val="18"/>
          </w:rPr>
          <w:t>3</w:t>
        </w:r>
        <w:r w:rsidRPr="00915D7A">
          <w:rPr>
            <w:rStyle w:val="Nmerodepgina"/>
            <w:rFonts w:ascii="Calibri" w:hAnsi="Calibri" w:cs="Calibri"/>
            <w:color w:val="7F7F7F" w:themeColor="text1" w:themeTint="80"/>
            <w:sz w:val="18"/>
            <w:szCs w:val="18"/>
          </w:rPr>
          <w:fldChar w:fldCharType="end"/>
        </w:r>
      </w:p>
    </w:sdtContent>
  </w:sdt>
  <w:p w14:paraId="7C796B9A" w14:textId="77777777" w:rsidR="00915D7A" w:rsidRDefault="00915D7A" w:rsidP="00915D7A">
    <w:pPr>
      <w:tabs>
        <w:tab w:val="center" w:pos="4252"/>
        <w:tab w:val="right" w:pos="8504"/>
      </w:tabs>
      <w:spacing w:after="0" w:line="240" w:lineRule="auto"/>
      <w:ind w:right="360"/>
      <w:contextualSpacing/>
      <w:jc w:val="center"/>
      <w:rPr>
        <w:rFonts w:eastAsia="MS Mincho" w:cs="Times New Roman"/>
        <w:color w:val="7F7F7F"/>
        <w:sz w:val="18"/>
        <w:szCs w:val="18"/>
        <w:lang w:val="es-ES_tradnl"/>
      </w:rPr>
    </w:pPr>
  </w:p>
  <w:p w14:paraId="5921EAE8" w14:textId="6BB2F15D" w:rsidR="00915D7A" w:rsidRPr="00100932" w:rsidRDefault="00915D7A" w:rsidP="00915D7A">
    <w:pPr>
      <w:tabs>
        <w:tab w:val="center" w:pos="4252"/>
        <w:tab w:val="right" w:pos="8504"/>
      </w:tabs>
      <w:spacing w:after="0" w:line="240" w:lineRule="auto"/>
      <w:ind w:right="360"/>
      <w:contextualSpacing/>
      <w:jc w:val="center"/>
      <w:rPr>
        <w:rFonts w:eastAsia="MS Mincho" w:cs="Times New Roman"/>
        <w:color w:val="7F7F7F"/>
        <w:sz w:val="18"/>
        <w:szCs w:val="18"/>
        <w:lang w:val="es-ES_tradnl"/>
      </w:rPr>
    </w:pPr>
    <w:r w:rsidRPr="00100932">
      <w:rPr>
        <w:rFonts w:eastAsia="MS Mincho" w:cs="Times New Roman"/>
        <w:color w:val="7F7F7F"/>
        <w:sz w:val="18"/>
        <w:szCs w:val="18"/>
        <w:lang w:val="es-ES_tradnl"/>
      </w:rPr>
      <w:t xml:space="preserve">Revista de Estilos de Aprendizaje / </w:t>
    </w:r>
    <w:proofErr w:type="spellStart"/>
    <w:r w:rsidRPr="00100932">
      <w:rPr>
        <w:rFonts w:eastAsia="MS Mincho" w:cs="Times New Roman"/>
        <w:color w:val="7F7F7F"/>
        <w:sz w:val="18"/>
        <w:szCs w:val="18"/>
        <w:lang w:val="es-ES_tradnl"/>
      </w:rPr>
      <w:t>Journal</w:t>
    </w:r>
    <w:proofErr w:type="spellEnd"/>
    <w:r w:rsidRPr="00100932">
      <w:rPr>
        <w:rFonts w:eastAsia="MS Mincho" w:cs="Times New Roman"/>
        <w:color w:val="7F7F7F"/>
        <w:sz w:val="18"/>
        <w:szCs w:val="18"/>
        <w:lang w:val="es-ES_tradnl"/>
      </w:rPr>
      <w:t xml:space="preserve"> </w:t>
    </w:r>
    <w:proofErr w:type="spellStart"/>
    <w:r w:rsidRPr="00100932">
      <w:rPr>
        <w:rFonts w:eastAsia="MS Mincho" w:cs="Times New Roman"/>
        <w:color w:val="7F7F7F"/>
        <w:sz w:val="18"/>
        <w:szCs w:val="18"/>
        <w:lang w:val="es-ES_tradnl"/>
      </w:rPr>
      <w:t>of</w:t>
    </w:r>
    <w:proofErr w:type="spellEnd"/>
    <w:r w:rsidRPr="00100932">
      <w:rPr>
        <w:rFonts w:eastAsia="MS Mincho" w:cs="Times New Roman"/>
        <w:color w:val="7F7F7F"/>
        <w:sz w:val="18"/>
        <w:szCs w:val="18"/>
        <w:lang w:val="es-ES_tradnl"/>
      </w:rPr>
      <w:t xml:space="preserve"> </w:t>
    </w:r>
    <w:proofErr w:type="spellStart"/>
    <w:r w:rsidRPr="00100932">
      <w:rPr>
        <w:rFonts w:eastAsia="MS Mincho" w:cs="Times New Roman"/>
        <w:color w:val="7F7F7F"/>
        <w:sz w:val="18"/>
        <w:szCs w:val="18"/>
        <w:lang w:val="es-ES_tradnl"/>
      </w:rPr>
      <w:t>Learning</w:t>
    </w:r>
    <w:proofErr w:type="spellEnd"/>
    <w:r w:rsidRPr="00100932">
      <w:rPr>
        <w:rFonts w:eastAsia="MS Mincho" w:cs="Times New Roman"/>
        <w:color w:val="7F7F7F"/>
        <w:sz w:val="18"/>
        <w:szCs w:val="18"/>
        <w:lang w:val="es-ES_tradnl"/>
      </w:rPr>
      <w:t xml:space="preserve"> </w:t>
    </w:r>
    <w:proofErr w:type="spellStart"/>
    <w:r w:rsidRPr="00100932">
      <w:rPr>
        <w:rFonts w:eastAsia="MS Mincho" w:cs="Times New Roman"/>
        <w:color w:val="7F7F7F"/>
        <w:sz w:val="18"/>
        <w:szCs w:val="18"/>
        <w:lang w:val="es-ES_tradnl"/>
      </w:rPr>
      <w:t>Styles</w:t>
    </w:r>
    <w:proofErr w:type="spellEnd"/>
    <w:r w:rsidRPr="00100932">
      <w:rPr>
        <w:rFonts w:eastAsia="MS Mincho" w:cs="Times New Roman"/>
        <w:color w:val="7F7F7F"/>
        <w:sz w:val="18"/>
        <w:szCs w:val="18"/>
        <w:lang w:val="es-ES_tradnl"/>
      </w:rPr>
      <w:t xml:space="preserve">, Volumen 19, </w:t>
    </w:r>
    <w:proofErr w:type="spellStart"/>
    <w:r w:rsidRPr="00100932">
      <w:rPr>
        <w:rFonts w:eastAsia="MS Mincho" w:cs="Times New Roman"/>
        <w:color w:val="7F7F7F"/>
        <w:sz w:val="18"/>
        <w:szCs w:val="18"/>
        <w:lang w:val="es-ES_tradnl"/>
      </w:rPr>
      <w:t>Nº</w:t>
    </w:r>
    <w:proofErr w:type="spellEnd"/>
    <w:r>
      <w:rPr>
        <w:rFonts w:eastAsia="MS Mincho" w:cs="Times New Roman"/>
        <w:color w:val="7F7F7F"/>
        <w:sz w:val="18"/>
        <w:szCs w:val="18"/>
        <w:lang w:val="es-ES_tradnl"/>
      </w:rPr>
      <w:t xml:space="preserve"> 3</w:t>
    </w:r>
    <w:r w:rsidR="00CC12AA">
      <w:rPr>
        <w:rFonts w:eastAsia="MS Mincho" w:cs="Times New Roman"/>
        <w:color w:val="7F7F7F"/>
        <w:sz w:val="18"/>
        <w:szCs w:val="18"/>
        <w:lang w:val="es-ES_tradnl"/>
      </w:rPr>
      <w:t>7</w:t>
    </w:r>
    <w:r>
      <w:rPr>
        <w:rFonts w:eastAsia="MS Mincho" w:cs="Times New Roman"/>
        <w:color w:val="7F7F7F"/>
        <w:sz w:val="18"/>
        <w:szCs w:val="18"/>
        <w:lang w:val="es-ES_tradnl"/>
      </w:rPr>
      <w:t>, 1-</w:t>
    </w:r>
    <w:r w:rsidR="00CC12AA">
      <w:rPr>
        <w:rFonts w:eastAsia="MS Mincho" w:cs="Times New Roman"/>
        <w:color w:val="7F7F7F"/>
        <w:sz w:val="18"/>
        <w:szCs w:val="18"/>
        <w:lang w:val="es-ES_tradnl"/>
      </w:rPr>
      <w:t>4</w:t>
    </w:r>
    <w:r>
      <w:rPr>
        <w:rFonts w:eastAsia="MS Mincho" w:cs="Times New Roman"/>
        <w:color w:val="7F7F7F"/>
        <w:sz w:val="18"/>
        <w:szCs w:val="18"/>
        <w:lang w:val="es-ES_tradnl"/>
      </w:rPr>
      <w:t>.</w:t>
    </w:r>
  </w:p>
  <w:p w14:paraId="053D98C8" w14:textId="77777777" w:rsidR="00915D7A" w:rsidRPr="00100932" w:rsidRDefault="00915D7A" w:rsidP="00915D7A">
    <w:pPr>
      <w:tabs>
        <w:tab w:val="center" w:pos="4252"/>
        <w:tab w:val="right" w:pos="8504"/>
      </w:tabs>
      <w:spacing w:after="0" w:line="240" w:lineRule="auto"/>
      <w:contextualSpacing/>
      <w:jc w:val="center"/>
      <w:rPr>
        <w:rFonts w:eastAsia="MS Mincho" w:cs="Times New Roman"/>
        <w:color w:val="7F7F7F"/>
        <w:sz w:val="18"/>
        <w:szCs w:val="18"/>
        <w:lang w:val="es-ES_tradnl"/>
      </w:rPr>
    </w:pPr>
    <w:r w:rsidRPr="00100932">
      <w:rPr>
        <w:rFonts w:eastAsia="MS Mincho" w:cs="Times New Roman"/>
        <w:color w:val="7F7F7F"/>
        <w:sz w:val="18"/>
        <w:szCs w:val="18"/>
        <w:lang w:val="es-ES_tradnl"/>
      </w:rPr>
      <w:t>ISSN: 1988-8996 / ISSN: 2332-8533</w:t>
    </w:r>
  </w:p>
  <w:p w14:paraId="30633967" w14:textId="58858FD8" w:rsidR="00915D7A" w:rsidRDefault="00915D7A" w:rsidP="00915D7A">
    <w:pPr>
      <w:tabs>
        <w:tab w:val="center" w:pos="4252"/>
        <w:tab w:val="right" w:pos="8504"/>
      </w:tabs>
      <w:spacing w:after="0" w:line="240" w:lineRule="auto"/>
      <w:contextualSpacing/>
      <w:jc w:val="center"/>
    </w:pPr>
    <w:hyperlink r:id="rId1" w:history="1">
      <w:r w:rsidRPr="00100932">
        <w:rPr>
          <w:rFonts w:eastAsia="MS Mincho" w:cs="Times New Roman"/>
          <w:color w:val="7F7F7F"/>
          <w:sz w:val="18"/>
          <w:szCs w:val="18"/>
          <w:u w:val="single"/>
          <w:lang w:val="es-ES_tradnl"/>
        </w:rPr>
        <w:t>www.revistaestilosdeaprendizaje.com</w:t>
      </w:r>
    </w:hyperlink>
  </w:p>
  <w:p w14:paraId="5438CDE0" w14:textId="77777777" w:rsidR="00915D7A" w:rsidRDefault="00915D7A" w:rsidP="00915D7A">
    <w:pPr>
      <w:tabs>
        <w:tab w:val="center" w:pos="4252"/>
        <w:tab w:val="right" w:pos="8504"/>
      </w:tabs>
      <w:spacing w:after="0" w:line="240" w:lineRule="auto"/>
      <w:contextualSpacing/>
      <w:jc w:val="center"/>
    </w:pPr>
  </w:p>
  <w:p w14:paraId="6515DD80" w14:textId="77777777" w:rsidR="00915D7A" w:rsidRDefault="00915D7A" w:rsidP="00915D7A">
    <w:pPr>
      <w:tabs>
        <w:tab w:val="center" w:pos="4252"/>
        <w:tab w:val="right" w:pos="8504"/>
      </w:tabs>
      <w:spacing w:after="0" w:line="240" w:lineRule="auto"/>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A7A4" w14:textId="77777777" w:rsidR="00022F6B" w:rsidRDefault="00022F6B" w:rsidP="00915D7A">
      <w:pPr>
        <w:spacing w:after="0" w:line="240" w:lineRule="auto"/>
      </w:pPr>
      <w:r>
        <w:separator/>
      </w:r>
    </w:p>
  </w:footnote>
  <w:footnote w:type="continuationSeparator" w:id="0">
    <w:p w14:paraId="117ABF26" w14:textId="77777777" w:rsidR="00022F6B" w:rsidRDefault="00022F6B" w:rsidP="00915D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9D"/>
    <w:rsid w:val="00007130"/>
    <w:rsid w:val="00022201"/>
    <w:rsid w:val="00022F6B"/>
    <w:rsid w:val="00083148"/>
    <w:rsid w:val="000D247B"/>
    <w:rsid w:val="00135BD2"/>
    <w:rsid w:val="00195148"/>
    <w:rsid w:val="00264628"/>
    <w:rsid w:val="002B7412"/>
    <w:rsid w:val="0031019B"/>
    <w:rsid w:val="0031770E"/>
    <w:rsid w:val="003F0F9D"/>
    <w:rsid w:val="00407200"/>
    <w:rsid w:val="0053066E"/>
    <w:rsid w:val="005534F0"/>
    <w:rsid w:val="005621C0"/>
    <w:rsid w:val="00593ABC"/>
    <w:rsid w:val="00597F27"/>
    <w:rsid w:val="005A35D7"/>
    <w:rsid w:val="005F59F7"/>
    <w:rsid w:val="00662360"/>
    <w:rsid w:val="006967ED"/>
    <w:rsid w:val="006B07DC"/>
    <w:rsid w:val="006B2419"/>
    <w:rsid w:val="006D5F30"/>
    <w:rsid w:val="007877EF"/>
    <w:rsid w:val="00787AEE"/>
    <w:rsid w:val="008043DA"/>
    <w:rsid w:val="0084738D"/>
    <w:rsid w:val="00854B98"/>
    <w:rsid w:val="008556D8"/>
    <w:rsid w:val="008616CD"/>
    <w:rsid w:val="0086732F"/>
    <w:rsid w:val="00880131"/>
    <w:rsid w:val="008A09B8"/>
    <w:rsid w:val="008E4907"/>
    <w:rsid w:val="00915D7A"/>
    <w:rsid w:val="0094575F"/>
    <w:rsid w:val="00997FE7"/>
    <w:rsid w:val="009B4878"/>
    <w:rsid w:val="00A4764C"/>
    <w:rsid w:val="00AA724A"/>
    <w:rsid w:val="00AD7C1B"/>
    <w:rsid w:val="00B0135A"/>
    <w:rsid w:val="00B215E7"/>
    <w:rsid w:val="00B24A0D"/>
    <w:rsid w:val="00B460CC"/>
    <w:rsid w:val="00B67FC2"/>
    <w:rsid w:val="00BB28CE"/>
    <w:rsid w:val="00BE3717"/>
    <w:rsid w:val="00CC12AA"/>
    <w:rsid w:val="00CF2DCC"/>
    <w:rsid w:val="00CF5878"/>
    <w:rsid w:val="00D328B8"/>
    <w:rsid w:val="00D4596A"/>
    <w:rsid w:val="00D45FCA"/>
    <w:rsid w:val="00D7068D"/>
    <w:rsid w:val="00DB0A5C"/>
    <w:rsid w:val="00DF1B1B"/>
    <w:rsid w:val="00E65082"/>
    <w:rsid w:val="00E90C75"/>
    <w:rsid w:val="00EE0714"/>
    <w:rsid w:val="00F170D4"/>
    <w:rsid w:val="00FD781D"/>
    <w:rsid w:val="00FE7C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924EA"/>
  <w15:chartTrackingRefBased/>
  <w15:docId w15:val="{F3596EFF-3665-4FC8-AE6F-45B6E0C1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0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0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0F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0F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0F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0F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0F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0F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0F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0F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0F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0F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0F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0F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0F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0F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0F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0F9D"/>
    <w:rPr>
      <w:rFonts w:eastAsiaTheme="majorEastAsia" w:cstheme="majorBidi"/>
      <w:color w:val="272727" w:themeColor="text1" w:themeTint="D8"/>
    </w:rPr>
  </w:style>
  <w:style w:type="paragraph" w:styleId="Ttulo">
    <w:name w:val="Title"/>
    <w:basedOn w:val="Normal"/>
    <w:next w:val="Normal"/>
    <w:link w:val="TtuloCar"/>
    <w:uiPriority w:val="10"/>
    <w:qFormat/>
    <w:rsid w:val="003F0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0F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0F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0F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0F9D"/>
    <w:pPr>
      <w:spacing w:before="160"/>
      <w:jc w:val="center"/>
    </w:pPr>
    <w:rPr>
      <w:i/>
      <w:iCs/>
      <w:color w:val="404040" w:themeColor="text1" w:themeTint="BF"/>
    </w:rPr>
  </w:style>
  <w:style w:type="character" w:customStyle="1" w:styleId="CitaCar">
    <w:name w:val="Cita Car"/>
    <w:basedOn w:val="Fuentedeprrafopredeter"/>
    <w:link w:val="Cita"/>
    <w:uiPriority w:val="29"/>
    <w:rsid w:val="003F0F9D"/>
    <w:rPr>
      <w:i/>
      <w:iCs/>
      <w:color w:val="404040" w:themeColor="text1" w:themeTint="BF"/>
    </w:rPr>
  </w:style>
  <w:style w:type="paragraph" w:styleId="Prrafodelista">
    <w:name w:val="List Paragraph"/>
    <w:basedOn w:val="Normal"/>
    <w:uiPriority w:val="34"/>
    <w:qFormat/>
    <w:rsid w:val="003F0F9D"/>
    <w:pPr>
      <w:ind w:left="720"/>
      <w:contextualSpacing/>
    </w:pPr>
  </w:style>
  <w:style w:type="character" w:styleId="nfasisintenso">
    <w:name w:val="Intense Emphasis"/>
    <w:basedOn w:val="Fuentedeprrafopredeter"/>
    <w:uiPriority w:val="21"/>
    <w:qFormat/>
    <w:rsid w:val="003F0F9D"/>
    <w:rPr>
      <w:i/>
      <w:iCs/>
      <w:color w:val="0F4761" w:themeColor="accent1" w:themeShade="BF"/>
    </w:rPr>
  </w:style>
  <w:style w:type="paragraph" w:styleId="Citadestacada">
    <w:name w:val="Intense Quote"/>
    <w:basedOn w:val="Normal"/>
    <w:next w:val="Normal"/>
    <w:link w:val="CitadestacadaCar"/>
    <w:uiPriority w:val="30"/>
    <w:qFormat/>
    <w:rsid w:val="003F0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0F9D"/>
    <w:rPr>
      <w:i/>
      <w:iCs/>
      <w:color w:val="0F4761" w:themeColor="accent1" w:themeShade="BF"/>
    </w:rPr>
  </w:style>
  <w:style w:type="character" w:styleId="Referenciaintensa">
    <w:name w:val="Intense Reference"/>
    <w:basedOn w:val="Fuentedeprrafopredeter"/>
    <w:uiPriority w:val="32"/>
    <w:qFormat/>
    <w:rsid w:val="003F0F9D"/>
    <w:rPr>
      <w:b/>
      <w:bCs/>
      <w:smallCaps/>
      <w:color w:val="0F4761" w:themeColor="accent1" w:themeShade="BF"/>
      <w:spacing w:val="5"/>
    </w:rPr>
  </w:style>
  <w:style w:type="character" w:styleId="Hipervnculo">
    <w:name w:val="Hyperlink"/>
    <w:basedOn w:val="Fuentedeprrafopredeter"/>
    <w:uiPriority w:val="99"/>
    <w:unhideWhenUsed/>
    <w:rsid w:val="003F0F9D"/>
    <w:rPr>
      <w:color w:val="467886" w:themeColor="hyperlink"/>
      <w:u w:val="single"/>
    </w:rPr>
  </w:style>
  <w:style w:type="character" w:styleId="Mencinsinresolver">
    <w:name w:val="Unresolved Mention"/>
    <w:basedOn w:val="Fuentedeprrafopredeter"/>
    <w:uiPriority w:val="99"/>
    <w:semiHidden/>
    <w:unhideWhenUsed/>
    <w:rsid w:val="003F0F9D"/>
    <w:rPr>
      <w:color w:val="605E5C"/>
      <w:shd w:val="clear" w:color="auto" w:fill="E1DFDD"/>
    </w:rPr>
  </w:style>
  <w:style w:type="paragraph" w:styleId="Encabezado">
    <w:name w:val="header"/>
    <w:basedOn w:val="Normal"/>
    <w:link w:val="EncabezadoCar"/>
    <w:uiPriority w:val="99"/>
    <w:unhideWhenUsed/>
    <w:rsid w:val="00915D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5D7A"/>
  </w:style>
  <w:style w:type="paragraph" w:styleId="Piedepgina">
    <w:name w:val="footer"/>
    <w:basedOn w:val="Normal"/>
    <w:link w:val="PiedepginaCar"/>
    <w:uiPriority w:val="99"/>
    <w:unhideWhenUsed/>
    <w:rsid w:val="00915D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5D7A"/>
  </w:style>
  <w:style w:type="character" w:styleId="Nmerodepgina">
    <w:name w:val="page number"/>
    <w:basedOn w:val="Fuentedeprrafopredeter"/>
    <w:uiPriority w:val="99"/>
    <w:semiHidden/>
    <w:unhideWhenUsed/>
    <w:rsid w:val="0091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egre@ull.edu.es" TargetMode="External"/><Relationship Id="rId13" Type="http://schemas.openxmlformats.org/officeDocument/2006/relationships/hyperlink" Target="https://doi.org/10.55777/rea.v15iEspecialII.4668" TargetMode="External"/><Relationship Id="rId18" Type="http://schemas.openxmlformats.org/officeDocument/2006/relationships/hyperlink" Target="https://www.frontiersin.org/articles/10.3389/feduc.2024.1501354/full?utm_source=chatgpt.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dpi.com/2018992?utm_source=chatgpt.com" TargetMode="External"/><Relationship Id="rId7" Type="http://schemas.openxmlformats.org/officeDocument/2006/relationships/image" Target="media/image1.emf"/><Relationship Id="rId12" Type="http://schemas.openxmlformats.org/officeDocument/2006/relationships/hyperlink" Target="https://doi.org/10.55777/rea.v18i35.8037" TargetMode="External"/><Relationship Id="rId17" Type="http://schemas.openxmlformats.org/officeDocument/2006/relationships/hyperlink" Target="https://doi.org/10.55777/rea.v13i25.151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5777/rea.v18i36.7083" TargetMode="External"/><Relationship Id="rId20" Type="http://schemas.openxmlformats.org/officeDocument/2006/relationships/hyperlink" Target="https://doi.org/10.1177/025576141037065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3-1763-1143"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5209/reciem.76079" TargetMode="External"/><Relationship Id="rId23" Type="http://schemas.openxmlformats.org/officeDocument/2006/relationships/hyperlink" Target="https://doi.org/10.3389/fpsyg.2023.1259874" TargetMode="External"/><Relationship Id="rId28" Type="http://schemas.openxmlformats.org/officeDocument/2006/relationships/theme" Target="theme/theme1.xml"/><Relationship Id="rId10" Type="http://schemas.openxmlformats.org/officeDocument/2006/relationships/hyperlink" Target="mailto:vicenta.gisbert@uam.es" TargetMode="External"/><Relationship Id="rId19" Type="http://schemas.openxmlformats.org/officeDocument/2006/relationships/hyperlink" Target="https://doi.org/10.55777/rea.v15iEspecial.5309" TargetMode="External"/><Relationship Id="rId4" Type="http://schemas.openxmlformats.org/officeDocument/2006/relationships/webSettings" Target="webSettings.xml"/><Relationship Id="rId9" Type="http://schemas.openxmlformats.org/officeDocument/2006/relationships/hyperlink" Target="https://orcid.org/0000-0003-0504-0848" TargetMode="External"/><Relationship Id="rId14" Type="http://schemas.openxmlformats.org/officeDocument/2006/relationships/hyperlink" Target="https://doi.org/10.3390/educsci15091224" TargetMode="External"/><Relationship Id="rId22" Type="http://schemas.openxmlformats.org/officeDocument/2006/relationships/hyperlink" Target="https://doi.org/10.55777/rea.v18i35.7064"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vistaestilosdeaprendizaj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D8B9-7A69-9342-9661-B5645B0752B7}">
  <ds:schemaRefs>
    <ds:schemaRef ds:uri="http://schemas.openxmlformats.org/officeDocument/2006/bibliography"/>
  </ds:schemaRefs>
</ds:datastoreItem>
</file>

<file path=docMetadata/LabelInfo.xml><?xml version="1.0" encoding="utf-8"?>
<clbl:labelList xmlns:clbl="http://schemas.microsoft.com/office/2020/mipLabelMetadata">
  <clbl:label id="{0361ecad-3f61-4749-aa5c-87fde47ef9ad}" enabled="1" method="Privileged" siteId="{22c8b4a4-d926-43b2-bcc7-87b998590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2575</Words>
  <Characters>14167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Vicenta Gisbert Caudeli</dc:creator>
  <cp:keywords/>
  <dc:description/>
  <cp:lastModifiedBy>SILVIA CARRASCAL DOMINGUEZ</cp:lastModifiedBy>
  <cp:revision>2</cp:revision>
  <dcterms:created xsi:type="dcterms:W3CDTF">2026-04-09T05:50:00Z</dcterms:created>
  <dcterms:modified xsi:type="dcterms:W3CDTF">2026-04-09T05:50:00Z</dcterms:modified>
</cp:coreProperties>
</file>